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Gill Sans Nova Light" w:eastAsiaTheme="minorHAnsi" w:hAnsi="Gill Sans Nova Light" w:cs="Times New Roman (Body CS)"/>
          <w:color w:val="auto"/>
          <w:sz w:val="24"/>
          <w:szCs w:val="28"/>
        </w:rPr>
        <w:id w:val="1774518466"/>
        <w:docPartObj>
          <w:docPartGallery w:val="Cover Pages"/>
          <w:docPartUnique/>
        </w:docPartObj>
      </w:sdtPr>
      <w:sdtEndPr>
        <w:rPr>
          <w:rFonts w:cs="Gill Sans Light"/>
        </w:rPr>
      </w:sdtEndPr>
      <w:sdtContent>
        <w:p w14:paraId="2852C10A" w14:textId="77777777" w:rsidR="00FA53EB" w:rsidRPr="00FA6986" w:rsidRDefault="00FA53EB" w:rsidP="00FA53EB">
          <w:pPr>
            <w:pStyle w:val="Heading3"/>
            <w:rPr>
              <w:rFonts w:ascii="Gill Sans Nova Light" w:eastAsiaTheme="minorHAnsi" w:hAnsi="Gill Sans Nova Light" w:cs="Times New Roman (Body CS)"/>
              <w:color w:val="auto"/>
              <w:sz w:val="24"/>
              <w:szCs w:val="28"/>
            </w:rPr>
          </w:pPr>
        </w:p>
        <w:p w14:paraId="13FA771A" w14:textId="6E6EC537" w:rsidR="00FA53EB" w:rsidRPr="00FA6986" w:rsidRDefault="00FA53EB" w:rsidP="00CB1BBC">
          <w:pPr>
            <w:pStyle w:val="Heading3"/>
            <w:spacing w:after="120" w:line="240" w:lineRule="auto"/>
            <w:jc w:val="center"/>
            <w:rPr>
              <w:rFonts w:ascii="Gill Sans Nova Light" w:eastAsiaTheme="minorHAnsi" w:hAnsi="Gill Sans Nova Light" w:cs="Times New Roman (Body CS)"/>
              <w:color w:val="auto"/>
              <w:sz w:val="24"/>
              <w:szCs w:val="28"/>
            </w:rPr>
          </w:pPr>
          <w:r w:rsidRPr="00FA6986">
            <w:rPr>
              <w:rFonts w:ascii="Gill Sans Nova Light" w:eastAsiaTheme="minorHAnsi" w:hAnsi="Gill Sans Nova Light" w:cs="Times New Roman (Body CS)"/>
              <w:color w:val="auto"/>
              <w:sz w:val="24"/>
              <w:szCs w:val="28"/>
            </w:rPr>
            <w:t xml:space="preserve">CLIENT ALERT </w:t>
          </w:r>
        </w:p>
        <w:p w14:paraId="25805FAD" w14:textId="6CFE2BDB" w:rsidR="00FA53EB" w:rsidRPr="00FA6986" w:rsidRDefault="00FA6986" w:rsidP="00FA6986">
          <w:pPr>
            <w:pStyle w:val="Heading2"/>
            <w:jc w:val="center"/>
          </w:pPr>
          <w:r w:rsidRPr="00FA6986">
            <w:t>Requirement of prompt government notification in the event of a “chance find” of an item of Aboriginal heritage confirmed as immutable by the supreme court</w:t>
          </w:r>
        </w:p>
        <w:p w14:paraId="0A73C87D" w14:textId="4275251A" w:rsidR="00FA53EB" w:rsidRPr="00FA6986" w:rsidRDefault="00340AD1" w:rsidP="00FA53EB">
          <w:pPr>
            <w:jc w:val="center"/>
            <w:rPr>
              <w:rFonts w:cs="Times New Roman (Body CS)"/>
              <w:sz w:val="24"/>
              <w:szCs w:val="28"/>
            </w:rPr>
          </w:pPr>
          <w:r>
            <w:rPr>
              <w:rFonts w:cs="Times New Roman (Body CS)"/>
              <w:sz w:val="24"/>
              <w:szCs w:val="28"/>
            </w:rPr>
            <w:t>19 September</w:t>
          </w:r>
          <w:r w:rsidR="00FA53EB" w:rsidRPr="00FA6986">
            <w:rPr>
              <w:rFonts w:cs="Times New Roman (Body CS)"/>
              <w:sz w:val="24"/>
              <w:szCs w:val="28"/>
            </w:rPr>
            <w:t xml:space="preserve"> 2022</w:t>
          </w:r>
        </w:p>
        <w:p w14:paraId="22A9232E" w14:textId="77777777" w:rsidR="00FA53EB" w:rsidRPr="00FA6986" w:rsidRDefault="00FA53EB" w:rsidP="00FA53EB">
          <w:pPr>
            <w:rPr>
              <w:rFonts w:cs="Times New Roman (Body CS)"/>
              <w:sz w:val="24"/>
              <w:szCs w:val="28"/>
            </w:rPr>
          </w:pPr>
        </w:p>
        <w:p w14:paraId="5541B1F1" w14:textId="5B6BBC9F" w:rsidR="00FA6986" w:rsidRPr="00EA6202" w:rsidRDefault="00FA6986" w:rsidP="00340AD1">
          <w:pPr>
            <w:spacing w:line="240" w:lineRule="auto"/>
            <w:rPr>
              <w:rFonts w:cs="Times New Roman (Body CS)"/>
              <w:sz w:val="23"/>
              <w:szCs w:val="23"/>
            </w:rPr>
          </w:pPr>
          <w:r w:rsidRPr="00EA6202">
            <w:rPr>
              <w:rFonts w:cs="Times New Roman (Body CS)"/>
              <w:sz w:val="23"/>
              <w:szCs w:val="23"/>
            </w:rPr>
            <w:t xml:space="preserve">In </w:t>
          </w:r>
          <w:r w:rsidRPr="00EA6202">
            <w:rPr>
              <w:rFonts w:cs="Times New Roman (Body CS)"/>
              <w:i/>
              <w:iCs/>
              <w:sz w:val="23"/>
              <w:szCs w:val="23"/>
            </w:rPr>
            <w:t>Dare, Bilney &amp; Ors v Kelaray Pty Ltd, Premier of South Australia</w:t>
          </w:r>
          <w:r w:rsidRPr="00EA6202">
            <w:rPr>
              <w:rFonts w:cs="Times New Roman (Body CS)"/>
              <w:sz w:val="23"/>
              <w:szCs w:val="23"/>
              <w:vertAlign w:val="superscript"/>
            </w:rPr>
            <w:footnoteReference w:id="1"/>
          </w:r>
          <w:r w:rsidRPr="00EA6202">
            <w:rPr>
              <w:rFonts w:cs="Times New Roman (Body CS)"/>
              <w:sz w:val="23"/>
              <w:szCs w:val="23"/>
            </w:rPr>
            <w:t xml:space="preserve"> (</w:t>
          </w:r>
          <w:r w:rsidRPr="00EA6202">
            <w:rPr>
              <w:rFonts w:cs="Times New Roman (Body CS)"/>
              <w:b/>
              <w:bCs/>
              <w:i/>
              <w:iCs/>
              <w:sz w:val="23"/>
              <w:szCs w:val="23"/>
            </w:rPr>
            <w:t>Dare</w:t>
          </w:r>
          <w:r w:rsidRPr="00EA6202">
            <w:rPr>
              <w:rFonts w:cs="Times New Roman (Body CS)"/>
              <w:sz w:val="23"/>
              <w:szCs w:val="23"/>
            </w:rPr>
            <w:t>), the Supreme Court of South Australia has set aside a decision of the Premier to grant an authorisation to Kelaray Pty Ltd (</w:t>
          </w:r>
          <w:r w:rsidRPr="00EA6202">
            <w:rPr>
              <w:rFonts w:cs="Times New Roman (Body CS)"/>
              <w:b/>
              <w:bCs/>
              <w:i/>
              <w:iCs/>
              <w:sz w:val="23"/>
              <w:szCs w:val="23"/>
            </w:rPr>
            <w:t>Kelaray</w:t>
          </w:r>
          <w:r w:rsidRPr="00EA6202">
            <w:rPr>
              <w:rFonts w:cs="Times New Roman (Body CS)"/>
              <w:sz w:val="23"/>
              <w:szCs w:val="23"/>
            </w:rPr>
            <w:t>) (a subsidiary of Argonaut Resources NL) under the Aboriginal Heritage Act 1988 (SA) (</w:t>
          </w:r>
          <w:r w:rsidRPr="00EA6202">
            <w:rPr>
              <w:rFonts w:cs="Times New Roman (Body CS)"/>
              <w:b/>
              <w:bCs/>
              <w:i/>
              <w:iCs/>
              <w:sz w:val="23"/>
              <w:szCs w:val="23"/>
            </w:rPr>
            <w:t>AHA</w:t>
          </w:r>
          <w:r w:rsidRPr="00EA6202">
            <w:rPr>
              <w:rFonts w:cs="Times New Roman (Body CS)"/>
              <w:sz w:val="23"/>
              <w:szCs w:val="23"/>
            </w:rPr>
            <w:t>) in connection with exploration activity at Lake Torrens, ruling the authorisation was invalid on the basis its terms were inconsistent with another Aboriginal heritage protection in the AHA.</w:t>
          </w:r>
        </w:p>
        <w:p w14:paraId="54545C5E" w14:textId="77777777" w:rsidR="00FA6986" w:rsidRPr="00EA6202" w:rsidRDefault="00FA6986" w:rsidP="00340AD1">
          <w:pPr>
            <w:spacing w:line="240" w:lineRule="auto"/>
            <w:rPr>
              <w:rFonts w:cs="Times New Roman (Body CS)"/>
              <w:sz w:val="23"/>
              <w:szCs w:val="23"/>
            </w:rPr>
          </w:pPr>
        </w:p>
        <w:p w14:paraId="4368589E" w14:textId="5850338F" w:rsidR="00FA6986" w:rsidRPr="00EA6202" w:rsidRDefault="00FA6986" w:rsidP="00340AD1">
          <w:pPr>
            <w:spacing w:line="240" w:lineRule="auto"/>
            <w:rPr>
              <w:rFonts w:cs="Times New Roman (Body CS)"/>
              <w:sz w:val="23"/>
              <w:szCs w:val="23"/>
            </w:rPr>
          </w:pPr>
          <w:r w:rsidRPr="00EA6202">
            <w:rPr>
              <w:rFonts w:cs="Times New Roman (Body CS)"/>
              <w:sz w:val="23"/>
              <w:szCs w:val="23"/>
            </w:rPr>
            <w:t>A person will commit an offence against section 23 of the AHA if it: (a) damages, disturbs or interferes with an Aboriginal site, (b) damages an Aboriginal object or (c) where an Aboriginal object or remains are found, disturbs or interferes with the object or remains (or removes the object or remains). However, a person will be immune from prosecution for doing the same to the extent it has been first authorised to do so by the relevant Minister under section 23.</w:t>
          </w:r>
        </w:p>
        <w:p w14:paraId="151C7068" w14:textId="77777777" w:rsidR="00FA6986" w:rsidRPr="00EA6202" w:rsidRDefault="00FA6986" w:rsidP="00340AD1">
          <w:pPr>
            <w:spacing w:line="240" w:lineRule="auto"/>
            <w:rPr>
              <w:rFonts w:cs="Times New Roman (Body CS)"/>
              <w:sz w:val="23"/>
              <w:szCs w:val="23"/>
            </w:rPr>
          </w:pPr>
        </w:p>
        <w:p w14:paraId="7F10F26F" w14:textId="5108C3E6" w:rsidR="00FA6986" w:rsidRPr="00EA6202" w:rsidRDefault="00FA6986" w:rsidP="00340AD1">
          <w:pPr>
            <w:spacing w:line="240" w:lineRule="auto"/>
            <w:rPr>
              <w:rFonts w:cs="Times New Roman (Body CS)"/>
              <w:sz w:val="23"/>
              <w:szCs w:val="23"/>
            </w:rPr>
          </w:pPr>
          <w:r w:rsidRPr="00EA6202">
            <w:rPr>
              <w:rFonts w:cs="Times New Roman (Body CS)"/>
              <w:sz w:val="23"/>
              <w:szCs w:val="23"/>
            </w:rPr>
            <w:t xml:space="preserve">Dare relates to such an authorisation granted </w:t>
          </w:r>
          <w:r w:rsidR="00176F1E">
            <w:rPr>
              <w:rFonts w:cs="Times New Roman (Body CS)"/>
              <w:sz w:val="23"/>
              <w:szCs w:val="23"/>
            </w:rPr>
            <w:t xml:space="preserve">under section 23 </w:t>
          </w:r>
          <w:r w:rsidRPr="00EA6202">
            <w:rPr>
              <w:rFonts w:cs="Times New Roman (Body CS)"/>
              <w:sz w:val="23"/>
              <w:szCs w:val="23"/>
            </w:rPr>
            <w:t xml:space="preserve">to </w:t>
          </w:r>
          <w:proofErr w:type="spellStart"/>
          <w:r w:rsidRPr="00EA6202">
            <w:rPr>
              <w:rFonts w:cs="Times New Roman (Body CS)"/>
              <w:sz w:val="23"/>
              <w:szCs w:val="23"/>
            </w:rPr>
            <w:t>Kelaray</w:t>
          </w:r>
          <w:proofErr w:type="spellEnd"/>
          <w:r w:rsidRPr="00EA6202">
            <w:rPr>
              <w:rFonts w:cs="Times New Roman (Body CS)"/>
              <w:sz w:val="23"/>
              <w:szCs w:val="23"/>
            </w:rPr>
            <w:t xml:space="preserve"> by former Premier Steven Marshall (who was the Minister responsible for the administration of the AHA at the time), permitting </w:t>
          </w:r>
          <w:proofErr w:type="spellStart"/>
          <w:r w:rsidR="00176F1E">
            <w:rPr>
              <w:rFonts w:cs="Times New Roman (Body CS)"/>
              <w:sz w:val="23"/>
              <w:szCs w:val="23"/>
            </w:rPr>
            <w:t>Kelaray</w:t>
          </w:r>
          <w:proofErr w:type="spellEnd"/>
          <w:r w:rsidRPr="00EA6202">
            <w:rPr>
              <w:rFonts w:cs="Times New Roman (Body CS)"/>
              <w:sz w:val="23"/>
              <w:szCs w:val="23"/>
            </w:rPr>
            <w:t xml:space="preserve"> to damage or interfere with any Aboriginal site, object or remains </w:t>
          </w:r>
          <w:proofErr w:type="gramStart"/>
          <w:r w:rsidRPr="00EA6202">
            <w:rPr>
              <w:rFonts w:cs="Times New Roman (Body CS)"/>
              <w:sz w:val="23"/>
              <w:szCs w:val="23"/>
            </w:rPr>
            <w:t>in the course of</w:t>
          </w:r>
          <w:proofErr w:type="gramEnd"/>
          <w:r w:rsidRPr="00EA6202">
            <w:rPr>
              <w:rFonts w:cs="Times New Roman (Body CS)"/>
              <w:sz w:val="23"/>
              <w:szCs w:val="23"/>
            </w:rPr>
            <w:t xml:space="preserve"> exploration activity related to its Murdie Project (an iron oxide and copper-gold mineralisation project in its exploration phase). </w:t>
          </w:r>
        </w:p>
        <w:p w14:paraId="4831966B" w14:textId="77777777" w:rsidR="00FA6986" w:rsidRPr="00EA6202" w:rsidRDefault="00FA6986" w:rsidP="00340AD1">
          <w:pPr>
            <w:spacing w:line="240" w:lineRule="auto"/>
            <w:rPr>
              <w:rFonts w:cs="Times New Roman (Body CS)"/>
              <w:sz w:val="23"/>
              <w:szCs w:val="23"/>
            </w:rPr>
          </w:pPr>
        </w:p>
        <w:p w14:paraId="316457B8" w14:textId="77777777" w:rsidR="00FA6986" w:rsidRPr="00EA6202" w:rsidRDefault="00FA6986" w:rsidP="00340AD1">
          <w:pPr>
            <w:spacing w:line="240" w:lineRule="auto"/>
            <w:rPr>
              <w:rFonts w:cs="Times New Roman (Body CS)"/>
              <w:sz w:val="23"/>
              <w:szCs w:val="23"/>
            </w:rPr>
          </w:pPr>
          <w:r w:rsidRPr="00EA6202">
            <w:rPr>
              <w:rFonts w:cs="Times New Roman (Body CS)"/>
              <w:sz w:val="23"/>
              <w:szCs w:val="23"/>
            </w:rPr>
            <w:t>Rather than obtaining permission to damage or interfere with particular registered Aboriginal sites, objects or remains, Kelaray was granted a general authority to damage or interfere with any it encountered in the course of its proposed exploration program. For context, in considering the application for the authorisation, it appears the Premier accepted the subject area was of spiritual importance to various Aboriginal peoples and that ancestral remains were likely buried in the relevant area.</w:t>
          </w:r>
        </w:p>
        <w:p w14:paraId="4A0B38CD" w14:textId="77777777" w:rsidR="00A61803" w:rsidRPr="00EA6202" w:rsidRDefault="00A61803" w:rsidP="00340AD1">
          <w:pPr>
            <w:spacing w:line="240" w:lineRule="auto"/>
            <w:rPr>
              <w:rFonts w:cs="Times New Roman (Body CS)"/>
              <w:b/>
              <w:bCs/>
              <w:sz w:val="23"/>
              <w:szCs w:val="23"/>
              <w:u w:val="single"/>
            </w:rPr>
          </w:pPr>
        </w:p>
        <w:p w14:paraId="6AEDB6E5" w14:textId="7490B30E" w:rsidR="00FA6986" w:rsidRDefault="00FA6986" w:rsidP="00340AD1">
          <w:pPr>
            <w:spacing w:line="240" w:lineRule="auto"/>
            <w:rPr>
              <w:rFonts w:cs="Times New Roman (Body CS)"/>
              <w:b/>
              <w:bCs/>
              <w:sz w:val="23"/>
              <w:szCs w:val="23"/>
              <w:u w:val="single"/>
            </w:rPr>
          </w:pPr>
          <w:r w:rsidRPr="00EA6202">
            <w:rPr>
              <w:rFonts w:cs="Times New Roman (Body CS)"/>
              <w:b/>
              <w:bCs/>
              <w:sz w:val="23"/>
              <w:szCs w:val="23"/>
              <w:u w:val="single"/>
            </w:rPr>
            <w:t>Interaction between notification requirement and subject authorisation</w:t>
          </w:r>
        </w:p>
        <w:p w14:paraId="3C8E68E0" w14:textId="26F1B240" w:rsidR="00FA6986" w:rsidRPr="00EA6202" w:rsidRDefault="00FA6986" w:rsidP="00340AD1">
          <w:pPr>
            <w:spacing w:line="240" w:lineRule="auto"/>
            <w:rPr>
              <w:rFonts w:cs="Times New Roman (Body CS)"/>
              <w:sz w:val="23"/>
              <w:szCs w:val="23"/>
            </w:rPr>
          </w:pPr>
          <w:r w:rsidRPr="00EA6202">
            <w:rPr>
              <w:rFonts w:cs="Times New Roman (Body CS)"/>
              <w:sz w:val="23"/>
              <w:szCs w:val="23"/>
            </w:rPr>
            <w:t xml:space="preserve">The applicants challenged the Premier’s decision to grant the authorisation on seven grounds. Six were dismissed. </w:t>
          </w:r>
          <w:r w:rsidR="00176F1E">
            <w:rPr>
              <w:rFonts w:cs="Times New Roman (Body CS)"/>
              <w:sz w:val="23"/>
              <w:szCs w:val="23"/>
            </w:rPr>
            <w:t>T</w:t>
          </w:r>
          <w:r w:rsidRPr="00EA6202">
            <w:rPr>
              <w:rFonts w:cs="Times New Roman (Body CS)"/>
              <w:sz w:val="23"/>
              <w:szCs w:val="23"/>
            </w:rPr>
            <w:t>he Court accepted</w:t>
          </w:r>
          <w:r w:rsidR="00176F1E">
            <w:rPr>
              <w:rFonts w:cs="Times New Roman (Body CS)"/>
              <w:sz w:val="23"/>
              <w:szCs w:val="23"/>
            </w:rPr>
            <w:t xml:space="preserve"> that</w:t>
          </w:r>
          <w:r w:rsidRPr="00EA6202">
            <w:rPr>
              <w:rFonts w:cs="Times New Roman (Body CS)"/>
              <w:sz w:val="23"/>
              <w:szCs w:val="23"/>
            </w:rPr>
            <w:t xml:space="preserve"> the Premier acted ultra vires in making the authorisation conditional upon Kelaray’s compliance with its own “chance find procedure” (established as part of its cultural heritage management policies) (</w:t>
          </w:r>
          <w:r w:rsidRPr="00EA6202">
            <w:rPr>
              <w:rFonts w:cs="Times New Roman (Body CS)"/>
              <w:b/>
              <w:bCs/>
              <w:i/>
              <w:iCs/>
              <w:sz w:val="23"/>
              <w:szCs w:val="23"/>
            </w:rPr>
            <w:t>CFP</w:t>
          </w:r>
          <w:r w:rsidRPr="00EA6202">
            <w:rPr>
              <w:rFonts w:cs="Times New Roman (Body CS)"/>
              <w:sz w:val="23"/>
              <w:szCs w:val="23"/>
            </w:rPr>
            <w:t>).</w:t>
          </w:r>
        </w:p>
        <w:p w14:paraId="2FA44144" w14:textId="0DE65632" w:rsidR="00FA53EB" w:rsidRPr="00EA6202" w:rsidRDefault="00FA53EB" w:rsidP="00340AD1">
          <w:pPr>
            <w:spacing w:after="200" w:line="240" w:lineRule="auto"/>
            <w:rPr>
              <w:rFonts w:cs="Times New Roman (Body CS)"/>
              <w:sz w:val="23"/>
              <w:szCs w:val="23"/>
            </w:rPr>
            <w:sectPr w:rsidR="00FA53EB" w:rsidRPr="00EA6202" w:rsidSect="00FA53EB">
              <w:headerReference w:type="even" r:id="rId8"/>
              <w:headerReference w:type="default" r:id="rId9"/>
              <w:footerReference w:type="even" r:id="rId10"/>
              <w:footerReference w:type="default" r:id="rId11"/>
              <w:headerReference w:type="first" r:id="rId12"/>
              <w:footerReference w:type="first" r:id="rId13"/>
              <w:type w:val="continuous"/>
              <w:pgSz w:w="11900" w:h="16840"/>
              <w:pgMar w:top="3686" w:right="680" w:bottom="1021" w:left="680" w:header="709" w:footer="709" w:gutter="0"/>
              <w:cols w:space="708"/>
              <w:titlePg/>
              <w:docGrid w:linePitch="360"/>
            </w:sectPr>
          </w:pPr>
        </w:p>
        <w:p w14:paraId="133CE77B" w14:textId="3ED588BA" w:rsidR="00340AD1" w:rsidRPr="00EA6202" w:rsidRDefault="00340AD1" w:rsidP="00340AD1">
          <w:pPr>
            <w:spacing w:line="240" w:lineRule="auto"/>
            <w:rPr>
              <w:rFonts w:cs="Times New Roman (Body CS)"/>
              <w:sz w:val="23"/>
              <w:szCs w:val="23"/>
            </w:rPr>
          </w:pPr>
          <w:r w:rsidRPr="00EA6202">
            <w:rPr>
              <w:rFonts w:cs="Times New Roman (Body CS)"/>
              <w:sz w:val="23"/>
              <w:szCs w:val="23"/>
            </w:rPr>
            <w:lastRenderedPageBreak/>
            <w:t>The Court’s criticism of the CFP was that it did not require Kelaray to report the discovery of an item it considered may be of Aboriginal heritage to the relevant Minister before proceeding to interfere with it. The Court considered that</w:t>
          </w:r>
          <w:r w:rsidR="00176F1E">
            <w:rPr>
              <w:rFonts w:cs="Times New Roman (Body CS)"/>
              <w:sz w:val="23"/>
              <w:szCs w:val="23"/>
            </w:rPr>
            <w:t xml:space="preserve"> was</w:t>
          </w:r>
          <w:r w:rsidRPr="00EA6202">
            <w:rPr>
              <w:rFonts w:cs="Times New Roman (Body CS)"/>
              <w:sz w:val="23"/>
              <w:szCs w:val="23"/>
            </w:rPr>
            <w:t xml:space="preserve"> a defect of the CFP because it made the authorisation inconsistent with section 20 of the AHA. Section 20 provides that a person having the benefit of a mining tenement (like the exploration licences held by Kelaray) who discovers an Aboriginal site, object or remains must, as soon as practicable, report the discovery to the Minister. In the case of Aboriginal remains, section 20(3) then enables the Minister to direct the reporter to “take such immediate action for the protection or preservation of the remains as the Minister considers appropriate”.</w:t>
          </w:r>
        </w:p>
        <w:p w14:paraId="005D1D77" w14:textId="77777777" w:rsidR="00340AD1" w:rsidRPr="00EA6202" w:rsidRDefault="00340AD1" w:rsidP="00340AD1">
          <w:pPr>
            <w:spacing w:line="240" w:lineRule="auto"/>
            <w:rPr>
              <w:rFonts w:cs="Times New Roman (Body CS)"/>
              <w:sz w:val="23"/>
              <w:szCs w:val="23"/>
            </w:rPr>
          </w:pPr>
        </w:p>
        <w:p w14:paraId="6DB7373E" w14:textId="228917A7" w:rsidR="00FA6986" w:rsidRPr="00EA6202" w:rsidRDefault="00FA6986" w:rsidP="00340AD1">
          <w:pPr>
            <w:spacing w:line="240" w:lineRule="auto"/>
            <w:rPr>
              <w:rFonts w:cs="Times New Roman (Body CS)"/>
              <w:sz w:val="23"/>
              <w:szCs w:val="23"/>
            </w:rPr>
          </w:pPr>
          <w:r w:rsidRPr="00EA6202">
            <w:rPr>
              <w:rFonts w:cs="Times New Roman (Body CS)"/>
              <w:sz w:val="23"/>
              <w:szCs w:val="23"/>
            </w:rPr>
            <w:t>The Court was primarily concerned that compliance with the CFP (which, instead, required Kelaray to, before proceeding to interfere with an item it suspected may be of Aboriginal heritage, first consult with an appropriate cultural heritage expert and relevant Aboriginal group representatives) would deprive the Minister of the opportunity to make a direction for the protection or preservation of discovered remains. That concern, coupled with its view the relevant Minister does not have the power to exempt a person from the reporting obligation in section 20, caused the Court to find the authorisation had been granted invalidly on the basis it is inconsistent and cannot co-exist with section 20.</w:t>
          </w:r>
        </w:p>
        <w:p w14:paraId="28CF3D69" w14:textId="77777777" w:rsidR="00FA6986" w:rsidRPr="00EA6202" w:rsidRDefault="00FA6986" w:rsidP="00340AD1">
          <w:pPr>
            <w:spacing w:line="240" w:lineRule="auto"/>
            <w:rPr>
              <w:rFonts w:cs="Times New Roman (Body CS)"/>
              <w:sz w:val="23"/>
              <w:szCs w:val="23"/>
            </w:rPr>
          </w:pPr>
        </w:p>
        <w:p w14:paraId="5FA950F9" w14:textId="5BE6BF81" w:rsidR="004D25FF" w:rsidRPr="004D25FF" w:rsidRDefault="004D25FF" w:rsidP="00340AD1">
          <w:pPr>
            <w:spacing w:line="240" w:lineRule="auto"/>
            <w:rPr>
              <w:rFonts w:cs="Times New Roman (Body CS)"/>
              <w:b/>
              <w:bCs/>
              <w:sz w:val="23"/>
              <w:szCs w:val="23"/>
              <w:u w:val="single"/>
            </w:rPr>
          </w:pPr>
          <w:r w:rsidRPr="004D25FF">
            <w:rPr>
              <w:rFonts w:cs="Times New Roman (Body CS)"/>
              <w:b/>
              <w:bCs/>
              <w:sz w:val="23"/>
              <w:szCs w:val="23"/>
              <w:u w:val="single"/>
            </w:rPr>
            <w:t>Whether authorisation can only be given in respect of identified Aboriginal sites, objects or remains</w:t>
          </w:r>
        </w:p>
        <w:p w14:paraId="1320EA1C" w14:textId="42FB5ECD" w:rsidR="004D25FF" w:rsidRPr="004D25FF" w:rsidRDefault="004D25FF" w:rsidP="004D25FF">
          <w:pPr>
            <w:spacing w:line="240" w:lineRule="auto"/>
            <w:rPr>
              <w:rFonts w:cs="Times New Roman (Body CS)"/>
              <w:sz w:val="23"/>
              <w:szCs w:val="23"/>
            </w:rPr>
          </w:pPr>
          <w:r>
            <w:rPr>
              <w:rFonts w:cs="Times New Roman (Body CS)"/>
              <w:sz w:val="23"/>
              <w:szCs w:val="23"/>
            </w:rPr>
            <w:t>One of the dismissed grounds of challenge was the</w:t>
          </w:r>
          <w:r w:rsidRPr="004D25FF">
            <w:rPr>
              <w:rFonts w:cs="Times New Roman (Body CS)"/>
              <w:sz w:val="23"/>
              <w:szCs w:val="23"/>
            </w:rPr>
            <w:t xml:space="preserve"> applicants</w:t>
          </w:r>
          <w:r>
            <w:rPr>
              <w:rFonts w:cs="Times New Roman (Body CS)"/>
              <w:sz w:val="23"/>
              <w:szCs w:val="23"/>
            </w:rPr>
            <w:t>’</w:t>
          </w:r>
          <w:r w:rsidRPr="004D25FF">
            <w:rPr>
              <w:rFonts w:cs="Times New Roman (Body CS)"/>
              <w:sz w:val="23"/>
              <w:szCs w:val="23"/>
            </w:rPr>
            <w:t xml:space="preserve"> </w:t>
          </w:r>
          <w:r>
            <w:rPr>
              <w:rFonts w:cs="Times New Roman (Body CS)"/>
              <w:sz w:val="23"/>
              <w:szCs w:val="23"/>
            </w:rPr>
            <w:t>submission</w:t>
          </w:r>
          <w:r w:rsidRPr="004D25FF">
            <w:rPr>
              <w:rFonts w:cs="Times New Roman (Body CS)"/>
              <w:sz w:val="23"/>
              <w:szCs w:val="23"/>
            </w:rPr>
            <w:t xml:space="preserve"> </w:t>
          </w:r>
          <w:r>
            <w:rPr>
              <w:rFonts w:cs="Times New Roman (Body CS)"/>
              <w:sz w:val="23"/>
              <w:szCs w:val="23"/>
            </w:rPr>
            <w:t>to the Court that an</w:t>
          </w:r>
          <w:r w:rsidRPr="004D25FF">
            <w:rPr>
              <w:rFonts w:cs="Times New Roman (Body CS)"/>
              <w:sz w:val="23"/>
              <w:szCs w:val="23"/>
            </w:rPr>
            <w:t xml:space="preserve"> authorisation under section 23 can only be given in respect to one of more identified Aboriginal sites, objects or remains, or one or more identified classes of Aboriginal sites, objects or remains. Citing existing Supreme Court authority (</w:t>
          </w:r>
          <w:r w:rsidRPr="004D25FF">
            <w:rPr>
              <w:rFonts w:cs="Times New Roman (Body CS)"/>
              <w:i/>
              <w:iCs/>
              <w:sz w:val="23"/>
              <w:szCs w:val="23"/>
            </w:rPr>
            <w:t xml:space="preserve">Starkey &amp; </w:t>
          </w:r>
          <w:proofErr w:type="spellStart"/>
          <w:r w:rsidRPr="004D25FF">
            <w:rPr>
              <w:rFonts w:cs="Times New Roman (Body CS)"/>
              <w:i/>
              <w:iCs/>
              <w:sz w:val="23"/>
              <w:szCs w:val="23"/>
            </w:rPr>
            <w:t>Ors</w:t>
          </w:r>
          <w:proofErr w:type="spellEnd"/>
          <w:r w:rsidRPr="004D25FF">
            <w:rPr>
              <w:rFonts w:cs="Times New Roman (Body CS)"/>
              <w:i/>
              <w:iCs/>
              <w:sz w:val="23"/>
              <w:szCs w:val="23"/>
            </w:rPr>
            <w:t xml:space="preserve"> v The State of South Australia</w:t>
          </w:r>
          <w:r w:rsidRPr="004D25FF">
            <w:rPr>
              <w:rFonts w:cs="Times New Roman (Body CS)"/>
              <w:sz w:val="23"/>
              <w:szCs w:val="23"/>
            </w:rPr>
            <w:t xml:space="preserve"> [2011] 111 </w:t>
          </w:r>
          <w:proofErr w:type="spellStart"/>
          <w:r w:rsidRPr="004D25FF">
            <w:rPr>
              <w:rFonts w:cs="Times New Roman (Body CS)"/>
              <w:sz w:val="23"/>
              <w:szCs w:val="23"/>
            </w:rPr>
            <w:t>SASR</w:t>
          </w:r>
          <w:proofErr w:type="spellEnd"/>
          <w:r w:rsidRPr="004D25FF">
            <w:rPr>
              <w:rFonts w:cs="Times New Roman (Body CS)"/>
              <w:sz w:val="23"/>
              <w:szCs w:val="23"/>
            </w:rPr>
            <w:t xml:space="preserve"> 537), the Court found it is not necessary for an item to have first been determined under section 12 of the AHA to be of Aboriginal heritage before an authorisation under section 23 can be granted in respect to it, on the basis the AHA provides a blanket protection of all Aboriginal sites and objects (registered or not). Of note also was the Court’s comment that it could foreseeably result in unnecessary excavation and interference by the Minister to require a particular site to be investigated before an authorisation in respect to it is granted. </w:t>
          </w:r>
        </w:p>
        <w:p w14:paraId="70C1E0FA" w14:textId="77777777" w:rsidR="004D25FF" w:rsidRPr="004D25FF" w:rsidRDefault="004D25FF" w:rsidP="004D25FF">
          <w:pPr>
            <w:spacing w:line="240" w:lineRule="auto"/>
            <w:rPr>
              <w:rFonts w:cs="Times New Roman (Body CS)"/>
              <w:sz w:val="23"/>
              <w:szCs w:val="23"/>
            </w:rPr>
          </w:pPr>
        </w:p>
        <w:p w14:paraId="58E0C87C" w14:textId="77777777" w:rsidR="004D25FF" w:rsidRPr="004D25FF" w:rsidRDefault="004D25FF" w:rsidP="004D25FF">
          <w:pPr>
            <w:spacing w:line="240" w:lineRule="auto"/>
            <w:rPr>
              <w:rFonts w:cs="Times New Roman (Body CS)"/>
              <w:sz w:val="23"/>
              <w:szCs w:val="23"/>
            </w:rPr>
          </w:pPr>
          <w:r w:rsidRPr="004D25FF">
            <w:rPr>
              <w:rFonts w:cs="Times New Roman (Body CS)"/>
              <w:sz w:val="23"/>
              <w:szCs w:val="23"/>
            </w:rPr>
            <w:t>Hence, Dare makes clear a party may seek authority to damage, disturb or interfere with an Aboriginal object in circumstances where the status of that object as being of Aboriginal heritage is not yet formally confirmed. Further, the Court was satisfied it is acceptable for an authorisation under section 23 to be granted in circumstances where the relevant Minister does not know whether there are any Aboriginal items in existence at the relevant site.</w:t>
          </w:r>
        </w:p>
        <w:p w14:paraId="544917BF" w14:textId="77777777" w:rsidR="004D25FF" w:rsidRDefault="004D25FF" w:rsidP="00340AD1">
          <w:pPr>
            <w:spacing w:line="240" w:lineRule="auto"/>
            <w:rPr>
              <w:rFonts w:cs="Times New Roman (Body CS)"/>
              <w:b/>
              <w:bCs/>
              <w:sz w:val="23"/>
              <w:szCs w:val="23"/>
              <w:u w:val="single"/>
            </w:rPr>
          </w:pPr>
        </w:p>
        <w:p w14:paraId="2306E904" w14:textId="7DB2ED5E" w:rsidR="00FA6986" w:rsidRDefault="00FA6986" w:rsidP="00340AD1">
          <w:pPr>
            <w:spacing w:line="240" w:lineRule="auto"/>
            <w:rPr>
              <w:rFonts w:cs="Times New Roman (Body CS)"/>
              <w:b/>
              <w:bCs/>
              <w:sz w:val="23"/>
              <w:szCs w:val="23"/>
              <w:u w:val="single"/>
            </w:rPr>
          </w:pPr>
          <w:r w:rsidRPr="00EA6202">
            <w:rPr>
              <w:rFonts w:cs="Times New Roman (Body CS)"/>
              <w:b/>
              <w:bCs/>
              <w:sz w:val="23"/>
              <w:szCs w:val="23"/>
              <w:u w:val="single"/>
            </w:rPr>
            <w:t xml:space="preserve">Whether a person must be aware an item is of Aboriginal heritage </w:t>
          </w:r>
          <w:proofErr w:type="gramStart"/>
          <w:r w:rsidRPr="00EA6202">
            <w:rPr>
              <w:rFonts w:cs="Times New Roman (Body CS)"/>
              <w:b/>
              <w:bCs/>
              <w:sz w:val="23"/>
              <w:szCs w:val="23"/>
              <w:u w:val="single"/>
            </w:rPr>
            <w:t>in order to</w:t>
          </w:r>
          <w:proofErr w:type="gramEnd"/>
          <w:r w:rsidRPr="00EA6202">
            <w:rPr>
              <w:rFonts w:cs="Times New Roman (Body CS)"/>
              <w:b/>
              <w:bCs/>
              <w:sz w:val="23"/>
              <w:szCs w:val="23"/>
              <w:u w:val="single"/>
            </w:rPr>
            <w:t xml:space="preserve"> breach section 23 </w:t>
          </w:r>
        </w:p>
        <w:p w14:paraId="5B25FA05" w14:textId="4D6B464E" w:rsidR="00FA6986" w:rsidRPr="00EA6202" w:rsidRDefault="00FA6986" w:rsidP="00340AD1">
          <w:pPr>
            <w:spacing w:line="240" w:lineRule="auto"/>
            <w:rPr>
              <w:rFonts w:cs="Times New Roman (Body CS)"/>
              <w:sz w:val="23"/>
              <w:szCs w:val="23"/>
            </w:rPr>
          </w:pPr>
          <w:r w:rsidRPr="00EA6202">
            <w:rPr>
              <w:rFonts w:cs="Times New Roman (Body CS)"/>
              <w:sz w:val="23"/>
              <w:szCs w:val="23"/>
            </w:rPr>
            <w:t>The Court in Dare also expressed its view that it is not an element of a breach of section 23 (</w:t>
          </w:r>
          <w:proofErr w:type="gramStart"/>
          <w:r w:rsidRPr="00EA6202">
            <w:rPr>
              <w:rFonts w:cs="Times New Roman (Body CS)"/>
              <w:sz w:val="23"/>
              <w:szCs w:val="23"/>
            </w:rPr>
            <w:t>e.g.</w:t>
          </w:r>
          <w:proofErr w:type="gramEnd"/>
          <w:r w:rsidRPr="00EA6202">
            <w:rPr>
              <w:rFonts w:cs="Times New Roman (Body CS)"/>
              <w:sz w:val="23"/>
              <w:szCs w:val="23"/>
            </w:rPr>
            <w:t xml:space="preserve"> to not damage, disturb or interfere with any Aboriginal site or damage any Aboriginal object) that the offender knew the relevant site or object is of Aboriginal heritage, subject to the defence of reasonable mistake. The Court did not, however, go on to consider whether a person is able to breach section 23 also without there being any indication or reasonable grounds to suspect or consider whether the relevant site or object is of Aboriginal heritage.</w:t>
          </w:r>
        </w:p>
        <w:p w14:paraId="5AF57B2A" w14:textId="11CC5E45" w:rsidR="00FA6986" w:rsidRPr="00EA6202" w:rsidRDefault="00FA6986" w:rsidP="00340AD1">
          <w:pPr>
            <w:spacing w:line="240" w:lineRule="auto"/>
            <w:rPr>
              <w:rFonts w:cs="Times New Roman (Body CS)"/>
              <w:sz w:val="23"/>
              <w:szCs w:val="23"/>
            </w:rPr>
          </w:pPr>
        </w:p>
        <w:p w14:paraId="3648BB26" w14:textId="745FF97A" w:rsidR="00FA6986" w:rsidRDefault="00FA6986" w:rsidP="00340AD1">
          <w:pPr>
            <w:spacing w:line="240" w:lineRule="auto"/>
            <w:rPr>
              <w:rFonts w:cs="Times New Roman (Body CS)"/>
              <w:b/>
              <w:bCs/>
              <w:sz w:val="23"/>
              <w:szCs w:val="23"/>
              <w:u w:val="single"/>
            </w:rPr>
          </w:pPr>
          <w:r w:rsidRPr="00EA6202">
            <w:rPr>
              <w:rFonts w:cs="Times New Roman (Body CS)"/>
              <w:b/>
              <w:bCs/>
              <w:sz w:val="23"/>
              <w:szCs w:val="23"/>
              <w:u w:val="single"/>
            </w:rPr>
            <w:t>In summary</w:t>
          </w:r>
        </w:p>
        <w:p w14:paraId="060FF03D" w14:textId="70D175A6" w:rsidR="00FA6986" w:rsidRPr="00EA6202" w:rsidRDefault="00FA6986" w:rsidP="00340AD1">
          <w:pPr>
            <w:spacing w:line="240" w:lineRule="auto"/>
            <w:rPr>
              <w:rFonts w:cs="Times New Roman (Body CS)"/>
              <w:sz w:val="23"/>
              <w:szCs w:val="23"/>
            </w:rPr>
          </w:pPr>
          <w:r w:rsidRPr="00EA6202">
            <w:rPr>
              <w:rFonts w:cs="Times New Roman (Body CS)"/>
              <w:sz w:val="23"/>
              <w:szCs w:val="23"/>
            </w:rPr>
            <w:t>Dare is informative for parties both protected by and required to comply with (or looking to obtain exemption or relief from specific prohibitions in) the AHA and is therefore an important decision to consider.</w:t>
          </w:r>
        </w:p>
        <w:p w14:paraId="2C80192C" w14:textId="66906B25" w:rsidR="00FA6986" w:rsidRPr="00EA6202" w:rsidRDefault="00176F1E" w:rsidP="00340AD1">
          <w:pPr>
            <w:spacing w:line="240" w:lineRule="auto"/>
            <w:rPr>
              <w:rFonts w:cs="Times New Roman (Body CS)"/>
              <w:sz w:val="23"/>
              <w:szCs w:val="23"/>
            </w:rPr>
          </w:pPr>
          <w:r>
            <w:rPr>
              <w:rFonts w:cs="Times New Roman (Body CS)"/>
              <w:sz w:val="23"/>
              <w:szCs w:val="23"/>
            </w:rPr>
            <w:t>I</w:t>
          </w:r>
          <w:r w:rsidR="00FA6986" w:rsidRPr="00EA6202">
            <w:rPr>
              <w:rFonts w:cs="Times New Roman (Body CS)"/>
              <w:sz w:val="23"/>
              <w:szCs w:val="23"/>
            </w:rPr>
            <w:t>t remains to be seen if Kelaray will look to appeal or apply for a replacement authorisation on terms consistent with section 20 of the AHA.</w:t>
          </w:r>
        </w:p>
        <w:p w14:paraId="3E7AF500" w14:textId="160EC44C" w:rsidR="00FA6986" w:rsidRPr="00EA6202" w:rsidRDefault="00FA6986" w:rsidP="006E133B">
          <w:pPr>
            <w:pStyle w:val="Heading3"/>
            <w:rPr>
              <w:sz w:val="23"/>
              <w:szCs w:val="23"/>
            </w:rPr>
          </w:pPr>
        </w:p>
        <w:p w14:paraId="78D22C41" w14:textId="77777777" w:rsidR="00FA6986" w:rsidRPr="00EA6202" w:rsidRDefault="00FA6986" w:rsidP="006E133B">
          <w:pPr>
            <w:pStyle w:val="Heading3"/>
            <w:rPr>
              <w:sz w:val="23"/>
              <w:szCs w:val="23"/>
            </w:rPr>
          </w:pPr>
        </w:p>
        <w:p w14:paraId="5128E1CD" w14:textId="1C3B35C1" w:rsidR="00685FDE" w:rsidRPr="00EA6202" w:rsidRDefault="009D3CC1" w:rsidP="006E133B">
          <w:pPr>
            <w:pStyle w:val="Heading3"/>
            <w:rPr>
              <w:sz w:val="23"/>
              <w:szCs w:val="23"/>
            </w:rPr>
          </w:pPr>
          <w:r w:rsidRPr="00EA6202">
            <w:rPr>
              <w:sz w:val="23"/>
              <w:szCs w:val="23"/>
            </w:rPr>
            <w:t xml:space="preserve">If you have questions regarding </w:t>
          </w:r>
          <w:r w:rsidR="008E3A38" w:rsidRPr="00EA6202">
            <w:rPr>
              <w:sz w:val="23"/>
              <w:szCs w:val="23"/>
            </w:rPr>
            <w:t>this decision</w:t>
          </w:r>
          <w:r w:rsidRPr="00EA6202">
            <w:rPr>
              <w:sz w:val="23"/>
              <w:szCs w:val="23"/>
            </w:rPr>
            <w:t>, please contact:</w:t>
          </w:r>
        </w:p>
        <w:p w14:paraId="70610DD5" w14:textId="77CA4D54" w:rsidR="00685FDE" w:rsidRPr="00FA6986" w:rsidRDefault="008E3A38" w:rsidP="00685FDE">
          <w:pPr>
            <w:rPr>
              <w:sz w:val="24"/>
              <w:szCs w:val="28"/>
            </w:rPr>
          </w:pPr>
          <w:r w:rsidRPr="00FA6986">
            <w:rPr>
              <w:noProof/>
              <w:sz w:val="24"/>
              <w:szCs w:val="28"/>
            </w:rPr>
            <mc:AlternateContent>
              <mc:Choice Requires="wps">
                <w:drawing>
                  <wp:anchor distT="45720" distB="45720" distL="114300" distR="114300" simplePos="0" relativeHeight="251666432" behindDoc="1" locked="0" layoutInCell="1" allowOverlap="1" wp14:anchorId="1BF24235" wp14:editId="26BD19C0">
                    <wp:simplePos x="0" y="0"/>
                    <wp:positionH relativeFrom="column">
                      <wp:posOffset>803275</wp:posOffset>
                    </wp:positionH>
                    <wp:positionV relativeFrom="paragraph">
                      <wp:posOffset>181610</wp:posOffset>
                    </wp:positionV>
                    <wp:extent cx="1706880" cy="956310"/>
                    <wp:effectExtent l="0" t="0" r="7620" b="0"/>
                    <wp:wrapTight wrapText="bothSides">
                      <wp:wrapPolygon edited="0">
                        <wp:start x="0" y="0"/>
                        <wp:lineTo x="0" y="21084"/>
                        <wp:lineTo x="21455" y="21084"/>
                        <wp:lineTo x="2145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956310"/>
                            </a:xfrm>
                            <a:prstGeom prst="rect">
                              <a:avLst/>
                            </a:prstGeom>
                            <a:solidFill>
                              <a:srgbClr val="FFFFFF"/>
                            </a:solidFill>
                            <a:ln w="9525">
                              <a:noFill/>
                              <a:miter lim="800000"/>
                              <a:headEnd/>
                              <a:tailEnd/>
                            </a:ln>
                          </wps:spPr>
                          <wps:txbx>
                            <w:txbxContent>
                              <w:p w14:paraId="698465AE" w14:textId="2A82FD3C" w:rsidR="005A3E43" w:rsidRDefault="00FA6986" w:rsidP="005A3E43">
                                <w:pPr>
                                  <w:jc w:val="left"/>
                                  <w:rPr>
                                    <w:rStyle w:val="Heading2Char"/>
                                  </w:rPr>
                                </w:pPr>
                                <w:r>
                                  <w:rPr>
                                    <w:rStyle w:val="Heading2Char"/>
                                  </w:rPr>
                                  <w:t>Jane Welsh</w:t>
                                </w:r>
                                <w:r w:rsidR="00FA53EB">
                                  <w:rPr>
                                    <w:rStyle w:val="Heading2Char"/>
                                  </w:rPr>
                                  <w:t xml:space="preserve"> </w:t>
                                </w:r>
                              </w:p>
                              <w:p w14:paraId="173DB43B" w14:textId="4FE2A716" w:rsidR="004D3992" w:rsidRDefault="008E3A38" w:rsidP="005A3E43">
                                <w:pPr>
                                  <w:jc w:val="left"/>
                                </w:pPr>
                                <w:r>
                                  <w:t>Special Counsel</w:t>
                                </w:r>
                              </w:p>
                              <w:p w14:paraId="3D9A15E4" w14:textId="063DB4A8" w:rsidR="006E133B" w:rsidRDefault="00395397">
                                <w:hyperlink r:id="rId14" w:history="1">
                                  <w:r w:rsidR="00FA6986" w:rsidRPr="003454F0">
                                    <w:rPr>
                                      <w:rStyle w:val="Hyperlink"/>
                                      <w:rFonts w:ascii="Gill Sans Nova Light" w:hAnsi="Gill Sans Nova Light"/>
                                    </w:rPr>
                                    <w:t>jane.welsh@finlaysons.com.au</w:t>
                                  </w:r>
                                </w:hyperlink>
                              </w:p>
                              <w:p w14:paraId="15BD2436" w14:textId="769A752B" w:rsidR="006E133B" w:rsidRDefault="006E133B">
                                <w:r w:rsidRPr="006E133B">
                                  <w:t xml:space="preserve">+618 8235 </w:t>
                                </w:r>
                                <w:r w:rsidR="00BB2781">
                                  <w:t>7835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24235" id="_x0000_t202" coordsize="21600,21600" o:spt="202" path="m,l,21600r21600,l21600,xe">
                    <v:stroke joinstyle="miter"/>
                    <v:path gradientshapeok="t" o:connecttype="rect"/>
                  </v:shapetype>
                  <v:shape id="Text Box 2" o:spid="_x0000_s1026" type="#_x0000_t202" style="position:absolute;left:0;text-align:left;margin-left:63.25pt;margin-top:14.3pt;width:134.4pt;height:75.3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" stroked="f">
                    <v:textbox>
                      <w:txbxContent>
                        <w:p w14:paraId="698465AE" w14:textId="2A82FD3C" w:rsidR="005A3E43" w:rsidRDefault="00FA6986" w:rsidP="005A3E43">
                          <w:pPr>
                            <w:jc w:val="left"/>
                            <w:rPr>
                              <w:rStyle w:val="Heading2Char"/>
                            </w:rPr>
                          </w:pPr>
                          <w:r>
                            <w:rPr>
                              <w:rStyle w:val="Heading2Char"/>
                            </w:rPr>
                            <w:t>Jane Welsh</w:t>
                          </w:r>
                          <w:r w:rsidR="00FA53EB">
                            <w:rPr>
                              <w:rStyle w:val="Heading2Char"/>
                            </w:rPr>
                            <w:t xml:space="preserve"> </w:t>
                          </w:r>
                        </w:p>
                        <w:p w14:paraId="173DB43B" w14:textId="4FE2A716" w:rsidR="004D3992" w:rsidRDefault="008E3A38" w:rsidP="005A3E43">
                          <w:pPr>
                            <w:jc w:val="left"/>
                          </w:pPr>
                          <w:r>
                            <w:t>Special Counsel</w:t>
                          </w:r>
                        </w:p>
                        <w:p w14:paraId="3D9A15E4" w14:textId="063DB4A8" w:rsidR="006E133B" w:rsidRDefault="00930826">
                          <w:hyperlink r:id="rId15" w:history="1">
                            <w:r w:rsidR="00FA6986" w:rsidRPr="003454F0">
                              <w:rPr>
                                <w:rStyle w:val="Hyperlink"/>
                                <w:rFonts w:ascii="Gill Sans Nova Light" w:hAnsi="Gill Sans Nova Light"/>
                              </w:rPr>
                              <w:t>jane.welsh@finlaysons.com.au</w:t>
                            </w:r>
                          </w:hyperlink>
                        </w:p>
                        <w:p w14:paraId="15BD2436" w14:textId="769A752B" w:rsidR="006E133B" w:rsidRDefault="006E133B">
                          <w:r w:rsidRPr="006E133B">
                            <w:t xml:space="preserve">+618 8235 </w:t>
                          </w:r>
                          <w:r w:rsidR="00BB2781">
                            <w:t>7835</w:t>
                          </w:r>
                        </w:p>
                      </w:txbxContent>
                    </v:textbox>
                    <w10:wrap type="tight"/>
                  </v:shape>
                </w:pict>
              </mc:Fallback>
            </mc:AlternateContent>
          </w:r>
        </w:p>
        <w:p w14:paraId="7597C113" w14:textId="0EC27725" w:rsidR="00C77AF9" w:rsidRPr="00FA6986" w:rsidRDefault="00340AD1" w:rsidP="00685FDE">
          <w:pPr>
            <w:rPr>
              <w:sz w:val="24"/>
              <w:szCs w:val="28"/>
            </w:rPr>
          </w:pPr>
          <w:r>
            <w:rPr>
              <w:noProof/>
            </w:rPr>
            <w:drawing>
              <wp:anchor distT="0" distB="0" distL="114300" distR="114300" simplePos="0" relativeHeight="251667456" behindDoc="1" locked="0" layoutInCell="1" allowOverlap="1" wp14:anchorId="4E245AC0" wp14:editId="6D007E3C">
                <wp:simplePos x="0" y="0"/>
                <wp:positionH relativeFrom="margin">
                  <wp:align>left</wp:align>
                </wp:positionH>
                <wp:positionV relativeFrom="paragraph">
                  <wp:posOffset>16510</wp:posOffset>
                </wp:positionV>
                <wp:extent cx="798301" cy="965200"/>
                <wp:effectExtent l="0" t="0" r="1905" b="6350"/>
                <wp:wrapNone/>
                <wp:docPr id="211" name="Picture 211" descr="jane welsh native title la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e welsh native title lawy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8301" cy="9652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26FF97BB" w14:textId="02518992" w:rsidR="005A3E43" w:rsidRPr="00FA6986" w:rsidRDefault="005A3E43" w:rsidP="005A3E43">
      <w:pPr>
        <w:rPr>
          <w:sz w:val="24"/>
          <w:szCs w:val="28"/>
        </w:rPr>
      </w:pPr>
    </w:p>
    <w:p w14:paraId="366CB5E7" w14:textId="73B6277B" w:rsidR="005A3E43" w:rsidRPr="00FA6986" w:rsidRDefault="005A3E43" w:rsidP="005A3E43">
      <w:pPr>
        <w:rPr>
          <w:sz w:val="24"/>
          <w:szCs w:val="28"/>
        </w:rPr>
      </w:pPr>
    </w:p>
    <w:p w14:paraId="038B3803" w14:textId="4064EE87" w:rsidR="005A3E43" w:rsidRPr="00FA6986" w:rsidRDefault="005A3E43" w:rsidP="005A3E43">
      <w:pPr>
        <w:rPr>
          <w:sz w:val="24"/>
          <w:szCs w:val="28"/>
        </w:rPr>
      </w:pPr>
    </w:p>
    <w:p w14:paraId="0EF07D72" w14:textId="366117F5" w:rsidR="005A3E43" w:rsidRPr="00FA6986" w:rsidRDefault="005A3E43" w:rsidP="005A3E43">
      <w:pPr>
        <w:rPr>
          <w:sz w:val="24"/>
          <w:szCs w:val="28"/>
        </w:rPr>
      </w:pPr>
    </w:p>
    <w:p w14:paraId="1EA25220" w14:textId="1EAE19C3" w:rsidR="00685FDE" w:rsidRPr="00FA6986" w:rsidRDefault="00685FDE" w:rsidP="005A3E43">
      <w:pPr>
        <w:rPr>
          <w:sz w:val="24"/>
          <w:szCs w:val="28"/>
        </w:rPr>
      </w:pPr>
    </w:p>
    <w:p w14:paraId="460DD9EA" w14:textId="77777777" w:rsidR="007F05BA" w:rsidRPr="00FA6986" w:rsidRDefault="007F05BA" w:rsidP="009B1DE5">
      <w:pPr>
        <w:shd w:val="clear" w:color="auto" w:fill="FFFFFF"/>
        <w:rPr>
          <w:i/>
          <w:iCs/>
          <w:sz w:val="24"/>
          <w:szCs w:val="28"/>
        </w:rPr>
      </w:pPr>
    </w:p>
    <w:p w14:paraId="4FC92B6E" w14:textId="52273AF6" w:rsidR="00685FDE" w:rsidRPr="00EA6202" w:rsidRDefault="00685FDE" w:rsidP="009B1DE5">
      <w:pPr>
        <w:shd w:val="clear" w:color="auto" w:fill="FFFFFF"/>
        <w:rPr>
          <w:sz w:val="23"/>
          <w:szCs w:val="23"/>
        </w:rPr>
      </w:pPr>
      <w:r w:rsidRPr="00EA6202">
        <w:rPr>
          <w:i/>
          <w:iCs/>
          <w:sz w:val="23"/>
          <w:szCs w:val="23"/>
        </w:rPr>
        <w:t>This Alert is intended as general information only. It does not purport to be comprehensive advice or legal advice. Readers must seek professional advice before acting in relation to these matters.</w:t>
      </w:r>
    </w:p>
    <w:sectPr w:rsidR="00685FDE" w:rsidRPr="00EA6202" w:rsidSect="00CA1605">
      <w:headerReference w:type="first" r:id="rId17"/>
      <w:pgSz w:w="11900" w:h="16840"/>
      <w:pgMar w:top="1814" w:right="680" w:bottom="1021"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2A0B5" w14:textId="77777777" w:rsidR="00930826" w:rsidRDefault="00930826" w:rsidP="006A262E">
      <w:r>
        <w:separator/>
      </w:r>
    </w:p>
  </w:endnote>
  <w:endnote w:type="continuationSeparator" w:id="0">
    <w:p w14:paraId="61B4A9B2" w14:textId="77777777" w:rsidR="00930826" w:rsidRDefault="00930826" w:rsidP="006A2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Nova Light">
    <w:altName w:val="Gill Sans Nova Light"/>
    <w:charset w:val="00"/>
    <w:family w:val="swiss"/>
    <w:pitch w:val="variable"/>
    <w:sig w:usb0="80000287" w:usb1="00000002" w:usb2="00000000" w:usb3="00000000" w:csb0="0000009F" w:csb1="00000000"/>
  </w:font>
  <w:font w:name="Gill Sans Light">
    <w:altName w:val="Arial"/>
    <w:charset w:val="B1"/>
    <w:family w:val="swiss"/>
    <w:pitch w:val="variable"/>
    <w:sig w:usb0="80000A67" w:usb1="00000000" w:usb2="00000000" w:usb3="00000000" w:csb0="000001F7" w:csb1="00000000"/>
  </w:font>
  <w:font w:name="Gill Sans Nova">
    <w:charset w:val="00"/>
    <w:family w:val="swiss"/>
    <w:pitch w:val="variable"/>
    <w:sig w:usb0="80000287" w:usb1="00000002" w:usb2="00000000" w:usb3="00000000" w:csb0="0000009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iDocIDField6a041d93-f2a3-49df-b581-43fc"/>
  <w:p w14:paraId="4D0F82AD" w14:textId="79927B66" w:rsidR="00A61803" w:rsidRDefault="00A61803">
    <w:pPr>
      <w:pStyle w:val="DocID"/>
    </w:pPr>
    <w:r>
      <w:fldChar w:fldCharType="begin"/>
    </w:r>
    <w:r>
      <w:instrText xml:space="preserve">  DOCPROPERTY "CUS_DocIDChunk0" </w:instrText>
    </w:r>
    <w:r>
      <w:fldChar w:fldCharType="separate"/>
    </w:r>
    <w:proofErr w:type="spellStart"/>
    <w:r w:rsidR="003D05A3">
      <w:t>7548087V1</w:t>
    </w:r>
    <w:proofErr w:type="spellEnd"/>
    <w:r>
      <w:fldChar w:fldCharType="end"/>
    </w:r>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iDocIDFieldf013d914-7c57-4122-9683-dc41"/>
  <w:p w14:paraId="115A24C7" w14:textId="0549CAA0" w:rsidR="00A61803" w:rsidRDefault="00A61803">
    <w:pPr>
      <w:pStyle w:val="DocID"/>
    </w:pPr>
    <w:r>
      <w:fldChar w:fldCharType="begin"/>
    </w:r>
    <w:r>
      <w:instrText xml:space="preserve">  DOCPROPERTY "CUS_DocIDChunk0" </w:instrText>
    </w:r>
    <w:r>
      <w:fldChar w:fldCharType="separate"/>
    </w:r>
    <w:proofErr w:type="spellStart"/>
    <w:r w:rsidR="003D05A3">
      <w:t>7548087V1</w:t>
    </w:r>
    <w:proofErr w:type="spellEnd"/>
    <w:r>
      <w:fldChar w:fldCharType="end"/>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DC06D" w14:textId="77777777" w:rsidR="00A61803" w:rsidRDefault="00A61803" w:rsidP="0084500C">
    <w:pPr>
      <w:pStyle w:val="Footer"/>
    </w:pPr>
    <w:r>
      <w:tab/>
      <w:t>finlaysons.com.au</w:t>
    </w:r>
  </w:p>
  <w:bookmarkStart w:id="2" w:name="_iDocIDFielda13f7dee-d5f6-44d2-ac70-699d"/>
  <w:p w14:paraId="46DBFEB9" w14:textId="3DDD93A6" w:rsidR="00A61803" w:rsidRDefault="00A61803">
    <w:pPr>
      <w:pStyle w:val="DocID"/>
    </w:pPr>
    <w:r>
      <w:fldChar w:fldCharType="begin"/>
    </w:r>
    <w:r>
      <w:instrText xml:space="preserve">  DOCPROPERTY "CUS_DocIDChunk0" </w:instrText>
    </w:r>
    <w:r>
      <w:fldChar w:fldCharType="separate"/>
    </w:r>
    <w:proofErr w:type="spellStart"/>
    <w:r w:rsidR="003D05A3">
      <w:t>7548087V1</w:t>
    </w:r>
    <w:proofErr w:type="spellEnd"/>
    <w: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722A0" w14:textId="77777777" w:rsidR="00930826" w:rsidRDefault="00930826" w:rsidP="006A262E">
      <w:r>
        <w:separator/>
      </w:r>
    </w:p>
  </w:footnote>
  <w:footnote w:type="continuationSeparator" w:id="0">
    <w:p w14:paraId="32AC93F7" w14:textId="77777777" w:rsidR="00930826" w:rsidRDefault="00930826" w:rsidP="006A262E">
      <w:r>
        <w:continuationSeparator/>
      </w:r>
    </w:p>
  </w:footnote>
  <w:footnote w:id="1">
    <w:p w14:paraId="35E5B20E" w14:textId="3CA12EB4" w:rsidR="00FA6986" w:rsidRDefault="00FA6986" w:rsidP="00A61803">
      <w:pPr>
        <w:spacing w:line="240" w:lineRule="auto"/>
        <w:rPr>
          <w:rFonts w:ascii="Times New Roman" w:hAnsi="Times New Roman" w:cs="Times New Roman"/>
          <w:sz w:val="16"/>
          <w:szCs w:val="16"/>
        </w:rPr>
      </w:pPr>
      <w:r w:rsidRPr="00EA6202">
        <w:rPr>
          <w:rFonts w:cs="Times New Roman (Body CS)"/>
          <w:vertAlign w:val="superscript"/>
        </w:rPr>
        <w:footnoteRef/>
      </w:r>
      <w:r w:rsidR="00EA6202">
        <w:rPr>
          <w:rFonts w:cs="Times New Roman (Body CS)"/>
          <w:vertAlign w:val="superscript"/>
        </w:rPr>
        <w:t xml:space="preserve"> </w:t>
      </w:r>
      <w:r w:rsidRPr="00A61803">
        <w:rPr>
          <w:rFonts w:cs="Times New Roman (Body CS)"/>
        </w:rPr>
        <w:t>[2022] SASC 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E479" w14:textId="77777777" w:rsidR="00A61803" w:rsidRDefault="00A618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9EA0" w14:textId="237AED1D" w:rsidR="009D3CC1" w:rsidRDefault="00FA53EB">
    <w:pPr>
      <w:pStyle w:val="Header"/>
    </w:pPr>
    <w:r w:rsidRPr="00722547">
      <w:rPr>
        <w:noProof/>
      </w:rPr>
      <w:drawing>
        <wp:anchor distT="0" distB="0" distL="114300" distR="114300" simplePos="0" relativeHeight="251671552" behindDoc="1" locked="1" layoutInCell="1" allowOverlap="1" wp14:anchorId="3DE73126" wp14:editId="47FE62C4">
          <wp:simplePos x="0" y="0"/>
          <wp:positionH relativeFrom="page">
            <wp:align>left</wp:align>
          </wp:positionH>
          <wp:positionV relativeFrom="page">
            <wp:align>bottom</wp:align>
          </wp:positionV>
          <wp:extent cx="7557770" cy="1069086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14:sizeRelH relativeFrom="page">
            <wp14:pctWidth>0</wp14:pctWidth>
          </wp14:sizeRelH>
          <wp14:sizeRelV relativeFrom="page">
            <wp14:pctHeight>0</wp14:pctHeight>
          </wp14:sizeRelV>
        </wp:anchor>
      </w:drawing>
    </w:r>
    <w:r w:rsidR="009D3CC1" w:rsidRPr="00722547">
      <w:rPr>
        <w:noProof/>
      </w:rPr>
      <w:drawing>
        <wp:anchor distT="0" distB="0" distL="114300" distR="114300" simplePos="0" relativeHeight="251669504" behindDoc="1" locked="1" layoutInCell="1" allowOverlap="1" wp14:anchorId="29BE0284" wp14:editId="79734ED4">
          <wp:simplePos x="0" y="0"/>
          <wp:positionH relativeFrom="page">
            <wp:align>left</wp:align>
          </wp:positionH>
          <wp:positionV relativeFrom="margin">
            <wp:posOffset>-2584450</wp:posOffset>
          </wp:positionV>
          <wp:extent cx="7557770" cy="1069086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7F06" w14:textId="77777777" w:rsidR="009D3CC1" w:rsidRDefault="009D3CC1" w:rsidP="006A262E">
    <w:r w:rsidRPr="00722547">
      <w:rPr>
        <w:noProof/>
      </w:rPr>
      <w:drawing>
        <wp:anchor distT="0" distB="0" distL="114300" distR="114300" simplePos="0" relativeHeight="251668480" behindDoc="1" locked="1" layoutInCell="1" allowOverlap="1" wp14:anchorId="57A402CA" wp14:editId="4A0BEF40">
          <wp:simplePos x="0" y="0"/>
          <wp:positionH relativeFrom="margin">
            <wp:posOffset>-431800</wp:posOffset>
          </wp:positionH>
          <wp:positionV relativeFrom="margin">
            <wp:posOffset>-2592070</wp:posOffset>
          </wp:positionV>
          <wp:extent cx="7557770" cy="1069022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5CC1E" w14:textId="77777777" w:rsidR="007A3061" w:rsidRDefault="007A3061" w:rsidP="006A262E">
    <w:r w:rsidRPr="00722547">
      <w:rPr>
        <w:noProof/>
      </w:rPr>
      <w:drawing>
        <wp:anchor distT="0" distB="0" distL="114300" distR="114300" simplePos="0" relativeHeight="251666432" behindDoc="1" locked="1" layoutInCell="1" allowOverlap="1" wp14:anchorId="084998AB" wp14:editId="0A7299D6">
          <wp:simplePos x="0" y="0"/>
          <wp:positionH relativeFrom="margin">
            <wp:posOffset>-431800</wp:posOffset>
          </wp:positionH>
          <wp:positionV relativeFrom="margin">
            <wp:posOffset>-1151890</wp:posOffset>
          </wp:positionV>
          <wp:extent cx="7557770" cy="106908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35FE"/>
    <w:multiLevelType w:val="hybridMultilevel"/>
    <w:tmpl w:val="40E62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84104D"/>
    <w:multiLevelType w:val="hybridMultilevel"/>
    <w:tmpl w:val="FF448AD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73BD5"/>
    <w:multiLevelType w:val="hybridMultilevel"/>
    <w:tmpl w:val="2D3C9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0419EA"/>
    <w:multiLevelType w:val="hybridMultilevel"/>
    <w:tmpl w:val="E0329D38"/>
    <w:lvl w:ilvl="0" w:tplc="6438569A">
      <w:start w:val="1"/>
      <w:numFmt w:val="bullet"/>
      <w:pStyle w:val="BulletPointLevel2"/>
      <w:lvlText w:val=""/>
      <w:lvlJc w:val="left"/>
      <w:pPr>
        <w:ind w:left="567" w:hanging="283"/>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A2028"/>
    <w:multiLevelType w:val="hybridMultilevel"/>
    <w:tmpl w:val="5238B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4C7042"/>
    <w:multiLevelType w:val="hybridMultilevel"/>
    <w:tmpl w:val="0BD43C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1925840"/>
    <w:multiLevelType w:val="hybridMultilevel"/>
    <w:tmpl w:val="8C8C7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62133F"/>
    <w:multiLevelType w:val="hybridMultilevel"/>
    <w:tmpl w:val="CEB20BDA"/>
    <w:lvl w:ilvl="0" w:tplc="E58A8AF6">
      <w:start w:val="1"/>
      <w:numFmt w:val="bullet"/>
      <w:pStyle w:val="ListParagraph"/>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3B4"/>
    <w:multiLevelType w:val="hybridMultilevel"/>
    <w:tmpl w:val="27926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340DA0"/>
    <w:multiLevelType w:val="multilevel"/>
    <w:tmpl w:val="7B6C43BE"/>
    <w:styleLink w:val="LegalList"/>
    <w:lvl w:ilvl="0">
      <w:start w:val="1"/>
      <w:numFmt w:val="decimal"/>
      <w:pStyle w:val="Legal1"/>
      <w:lvlText w:val="%1."/>
      <w:lvlJc w:val="left"/>
      <w:pPr>
        <w:tabs>
          <w:tab w:val="num" w:pos="567"/>
        </w:tabs>
        <w:ind w:left="567" w:hanging="567"/>
      </w:pPr>
      <w:rPr>
        <w:rFonts w:ascii="Arial" w:hAnsi="Arial" w:hint="default"/>
        <w:b w:val="0"/>
        <w:i w:val="0"/>
        <w:sz w:val="20"/>
        <w:szCs w:val="22"/>
      </w:rPr>
    </w:lvl>
    <w:lvl w:ilvl="1">
      <w:start w:val="1"/>
      <w:numFmt w:val="decimal"/>
      <w:pStyle w:val="Legal2"/>
      <w:lvlText w:val="%1.%2"/>
      <w:lvlJc w:val="left"/>
      <w:pPr>
        <w:tabs>
          <w:tab w:val="num" w:pos="1417"/>
        </w:tabs>
        <w:ind w:left="1134" w:hanging="567"/>
      </w:pPr>
      <w:rPr>
        <w:rFonts w:ascii="Arial" w:hAnsi="Arial" w:hint="default"/>
        <w:b w:val="0"/>
        <w:i w:val="0"/>
        <w:sz w:val="20"/>
        <w:szCs w:val="22"/>
      </w:rPr>
    </w:lvl>
    <w:lvl w:ilvl="2">
      <w:start w:val="1"/>
      <w:numFmt w:val="lowerLetter"/>
      <w:pStyle w:val="Legal3"/>
      <w:lvlText w:val="(%3)"/>
      <w:lvlJc w:val="left"/>
      <w:pPr>
        <w:tabs>
          <w:tab w:val="num" w:pos="14175"/>
        </w:tabs>
        <w:ind w:left="1701" w:hanging="567"/>
      </w:pPr>
      <w:rPr>
        <w:rFonts w:ascii="Arial" w:hAnsi="Arial" w:hint="default"/>
        <w:b w:val="0"/>
        <w:i w:val="0"/>
        <w:sz w:val="20"/>
        <w:szCs w:val="22"/>
      </w:rPr>
    </w:lvl>
    <w:lvl w:ilvl="3">
      <w:start w:val="1"/>
      <w:numFmt w:val="lowerRoman"/>
      <w:pStyle w:val="Legal4"/>
      <w:lvlText w:val="(%4)"/>
      <w:lvlJc w:val="left"/>
      <w:pPr>
        <w:tabs>
          <w:tab w:val="num" w:pos="19845"/>
        </w:tabs>
        <w:ind w:left="2268" w:hanging="567"/>
      </w:pPr>
      <w:rPr>
        <w:rFonts w:ascii="Arial" w:hAnsi="Arial" w:hint="default"/>
        <w:b w:val="0"/>
        <w:i w:val="0"/>
        <w:sz w:val="20"/>
        <w:szCs w:val="22"/>
      </w:rPr>
    </w:lvl>
    <w:lvl w:ilvl="4">
      <w:start w:val="1"/>
      <w:numFmt w:val="upperLetter"/>
      <w:pStyle w:val="Legal5"/>
      <w:lvlText w:val="(%5)"/>
      <w:lvlJc w:val="left"/>
      <w:pPr>
        <w:tabs>
          <w:tab w:val="num" w:pos="25515"/>
        </w:tabs>
        <w:ind w:left="2835" w:hanging="567"/>
      </w:pPr>
      <w:rPr>
        <w:rFonts w:ascii="Arial" w:hAnsi="Arial" w:hint="default"/>
        <w:b w:val="0"/>
        <w:i w:val="0"/>
        <w:sz w:val="20"/>
        <w:szCs w:val="22"/>
      </w:rPr>
    </w:lvl>
    <w:lvl w:ilvl="5">
      <w:start w:val="1"/>
      <w:numFmt w:val="decimal"/>
      <w:pStyle w:val="Legal6"/>
      <w:lvlText w:val="(%6)"/>
      <w:lvlJc w:val="left"/>
      <w:pPr>
        <w:tabs>
          <w:tab w:val="num" w:pos="31185"/>
        </w:tabs>
        <w:ind w:left="3402" w:hanging="567"/>
      </w:pPr>
      <w:rPr>
        <w:rFonts w:ascii="Arial" w:hAnsi="Arial" w:hint="default"/>
        <w:b w:val="0"/>
        <w:i w:val="0"/>
        <w:sz w:val="20"/>
        <w:szCs w:val="22"/>
      </w:rPr>
    </w:lvl>
    <w:lvl w:ilvl="6">
      <w:start w:val="1"/>
      <w:numFmt w:val="none"/>
      <w:lvlText w:val=""/>
      <w:lvlJc w:val="left"/>
      <w:pPr>
        <w:tabs>
          <w:tab w:val="num" w:pos="1298"/>
        </w:tabs>
        <w:ind w:left="1298" w:hanging="1298"/>
      </w:pPr>
      <w:rPr>
        <w:rFonts w:ascii="Arial" w:hAnsi="Arial" w:hint="default"/>
        <w:sz w:val="20"/>
      </w:rPr>
    </w:lvl>
    <w:lvl w:ilvl="7">
      <w:start w:val="1"/>
      <w:numFmt w:val="none"/>
      <w:lvlText w:val=""/>
      <w:lvlJc w:val="left"/>
      <w:pPr>
        <w:tabs>
          <w:tab w:val="num" w:pos="1440"/>
        </w:tabs>
        <w:ind w:left="1440" w:hanging="1440"/>
      </w:pPr>
      <w:rPr>
        <w:rFonts w:ascii="Arial" w:hAnsi="Arial" w:hint="default"/>
        <w:sz w:val="20"/>
      </w:rPr>
    </w:lvl>
    <w:lvl w:ilvl="8">
      <w:start w:val="1"/>
      <w:numFmt w:val="none"/>
      <w:lvlText w:val=""/>
      <w:lvlJc w:val="left"/>
      <w:pPr>
        <w:tabs>
          <w:tab w:val="num" w:pos="1584"/>
        </w:tabs>
        <w:ind w:left="1584" w:hanging="1584"/>
      </w:pPr>
      <w:rPr>
        <w:rFonts w:ascii="Arial" w:hAnsi="Arial" w:hint="default"/>
        <w:sz w:val="20"/>
      </w:rPr>
    </w:lvl>
  </w:abstractNum>
  <w:abstractNum w:abstractNumId="10" w15:restartNumberingAfterBreak="0">
    <w:nsid w:val="57593CFD"/>
    <w:multiLevelType w:val="multilevel"/>
    <w:tmpl w:val="A96C03E2"/>
    <w:styleLink w:val="CommList"/>
    <w:lvl w:ilvl="0">
      <w:start w:val="1"/>
      <w:numFmt w:val="decimal"/>
      <w:pStyle w:val="Comm1"/>
      <w:lvlText w:val="%1."/>
      <w:lvlJc w:val="left"/>
      <w:pPr>
        <w:tabs>
          <w:tab w:val="num" w:pos="850"/>
        </w:tabs>
        <w:ind w:left="850" w:hanging="850"/>
      </w:pPr>
      <w:rPr>
        <w:rFonts w:ascii="Arial" w:hAnsi="Arial" w:hint="default"/>
        <w:b/>
        <w:i w:val="0"/>
        <w:sz w:val="20"/>
      </w:rPr>
    </w:lvl>
    <w:lvl w:ilvl="1">
      <w:start w:val="1"/>
      <w:numFmt w:val="decimal"/>
      <w:pStyle w:val="Comm2"/>
      <w:lvlText w:val="%1.%2"/>
      <w:lvlJc w:val="left"/>
      <w:pPr>
        <w:tabs>
          <w:tab w:val="num" w:pos="850"/>
        </w:tabs>
        <w:ind w:left="850" w:hanging="850"/>
      </w:pPr>
      <w:rPr>
        <w:rFonts w:ascii="Arial" w:hAnsi="Arial" w:hint="default"/>
        <w:b/>
        <w:i w:val="0"/>
        <w:sz w:val="20"/>
      </w:rPr>
    </w:lvl>
    <w:lvl w:ilvl="2">
      <w:start w:val="1"/>
      <w:numFmt w:val="lowerLetter"/>
      <w:pStyle w:val="Comm3"/>
      <w:lvlText w:val="(%3)"/>
      <w:lvlJc w:val="left"/>
      <w:pPr>
        <w:tabs>
          <w:tab w:val="num" w:pos="1417"/>
        </w:tabs>
        <w:ind w:left="1417" w:hanging="567"/>
      </w:pPr>
      <w:rPr>
        <w:rFonts w:ascii="Arial" w:hAnsi="Arial" w:hint="default"/>
        <w:b w:val="0"/>
        <w:i w:val="0"/>
        <w:sz w:val="20"/>
      </w:rPr>
    </w:lvl>
    <w:lvl w:ilvl="3">
      <w:start w:val="1"/>
      <w:numFmt w:val="lowerRoman"/>
      <w:pStyle w:val="Comm4"/>
      <w:lvlText w:val="(%4)"/>
      <w:lvlJc w:val="left"/>
      <w:pPr>
        <w:tabs>
          <w:tab w:val="num" w:pos="2137"/>
        </w:tabs>
        <w:ind w:left="1984" w:hanging="567"/>
      </w:pPr>
      <w:rPr>
        <w:rFonts w:ascii="Arial" w:hAnsi="Arial" w:hint="default"/>
        <w:b w:val="0"/>
        <w:i w:val="0"/>
        <w:sz w:val="20"/>
      </w:rPr>
    </w:lvl>
    <w:lvl w:ilvl="4">
      <w:start w:val="1"/>
      <w:numFmt w:val="upperLetter"/>
      <w:pStyle w:val="Comm5"/>
      <w:lvlText w:val="(%5)"/>
      <w:lvlJc w:val="left"/>
      <w:pPr>
        <w:tabs>
          <w:tab w:val="num" w:pos="2552"/>
        </w:tabs>
        <w:ind w:left="2552" w:hanging="567"/>
      </w:pPr>
      <w:rPr>
        <w:rFonts w:ascii="Arial" w:hAnsi="Arial" w:hint="default"/>
        <w:b w:val="0"/>
        <w:i w:val="0"/>
        <w:sz w:val="20"/>
      </w:rPr>
    </w:lvl>
    <w:lvl w:ilvl="5">
      <w:start w:val="1"/>
      <w:numFmt w:val="decimal"/>
      <w:pStyle w:val="Comm6"/>
      <w:lvlText w:val="(%6)"/>
      <w:lvlJc w:val="left"/>
      <w:pPr>
        <w:tabs>
          <w:tab w:val="num" w:pos="3119"/>
        </w:tabs>
        <w:ind w:left="3119" w:hanging="567"/>
      </w:pPr>
      <w:rPr>
        <w:rFonts w:ascii="Arial" w:hAnsi="Arial" w:hint="default"/>
        <w:b w:val="0"/>
        <w:i w:val="0"/>
        <w:sz w:val="20"/>
      </w:rPr>
    </w:lvl>
    <w:lvl w:ilvl="6">
      <w:start w:val="1"/>
      <w:numFmt w:val="none"/>
      <w:lvlText w:val=""/>
      <w:lvlJc w:val="left"/>
      <w:pPr>
        <w:tabs>
          <w:tab w:val="num" w:pos="2520"/>
        </w:tabs>
        <w:ind w:left="2517" w:hanging="357"/>
      </w:pPr>
      <w:rPr>
        <w:rFonts w:ascii="Arial" w:hAnsi="Arial" w:hint="default"/>
        <w:b w:val="0"/>
        <w:i w:val="0"/>
        <w:sz w:val="20"/>
      </w:rPr>
    </w:lvl>
    <w:lvl w:ilvl="7">
      <w:start w:val="1"/>
      <w:numFmt w:val="none"/>
      <w:lvlText w:val=""/>
      <w:lvlJc w:val="left"/>
      <w:pPr>
        <w:tabs>
          <w:tab w:val="num" w:pos="2880"/>
        </w:tabs>
        <w:ind w:left="2880" w:hanging="363"/>
      </w:pPr>
      <w:rPr>
        <w:rFonts w:ascii="Arial" w:hAnsi="Arial" w:hint="default"/>
        <w:sz w:val="20"/>
      </w:rPr>
    </w:lvl>
    <w:lvl w:ilvl="8">
      <w:start w:val="1"/>
      <w:numFmt w:val="none"/>
      <w:lvlText w:val=""/>
      <w:lvlJc w:val="left"/>
      <w:pPr>
        <w:tabs>
          <w:tab w:val="num" w:pos="3240"/>
        </w:tabs>
        <w:ind w:left="3237" w:hanging="357"/>
      </w:pPr>
      <w:rPr>
        <w:rFonts w:ascii="Arial" w:hAnsi="Arial" w:hint="default"/>
        <w:sz w:val="20"/>
      </w:rPr>
    </w:lvl>
  </w:abstractNum>
  <w:abstractNum w:abstractNumId="11" w15:restartNumberingAfterBreak="0">
    <w:nsid w:val="59ED2D91"/>
    <w:multiLevelType w:val="hybridMultilevel"/>
    <w:tmpl w:val="A71C50B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67FC6F87"/>
    <w:multiLevelType w:val="multilevel"/>
    <w:tmpl w:val="CEB20B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D495107"/>
    <w:multiLevelType w:val="multilevel"/>
    <w:tmpl w:val="91C22DD8"/>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F7F3673"/>
    <w:multiLevelType w:val="hybridMultilevel"/>
    <w:tmpl w:val="3DC89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B157DD"/>
    <w:multiLevelType w:val="hybridMultilevel"/>
    <w:tmpl w:val="5238B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6E02ED1"/>
    <w:multiLevelType w:val="hybridMultilevel"/>
    <w:tmpl w:val="82C2B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3"/>
  </w:num>
  <w:num w:numId="4">
    <w:abstractNumId w:val="13"/>
  </w:num>
  <w:num w:numId="5">
    <w:abstractNumId w:val="14"/>
  </w:num>
  <w:num w:numId="6">
    <w:abstractNumId w:val="0"/>
  </w:num>
  <w:num w:numId="7">
    <w:abstractNumId w:val="8"/>
  </w:num>
  <w:num w:numId="8">
    <w:abstractNumId w:val="16"/>
  </w:num>
  <w:num w:numId="9">
    <w:abstractNumId w:val="2"/>
  </w:num>
  <w:num w:numId="10">
    <w:abstractNumId w:val="6"/>
  </w:num>
  <w:num w:numId="11">
    <w:abstractNumId w:val="1"/>
  </w:num>
  <w:num w:numId="12">
    <w:abstractNumId w:val="9"/>
  </w:num>
  <w:num w:numId="13">
    <w:abstractNumId w:val="5"/>
  </w:num>
  <w:num w:numId="14">
    <w:abstractNumId w:val="15"/>
  </w:num>
  <w:num w:numId="15">
    <w:abstractNumId w:val="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 w:ilvl="0">
        <w:start w:val="1"/>
        <w:numFmt w:val="decimal"/>
        <w:pStyle w:val="Comm1"/>
        <w:lvlText w:val="%1."/>
        <w:lvlJc w:val="left"/>
        <w:pPr>
          <w:tabs>
            <w:tab w:val="num" w:pos="850"/>
          </w:tabs>
          <w:ind w:left="850" w:hanging="85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Comm2"/>
        <w:lvlText w:val="%1.%2"/>
        <w:lvlJc w:val="left"/>
        <w:pPr>
          <w:tabs>
            <w:tab w:val="num" w:pos="850"/>
          </w:tabs>
          <w:ind w:left="850" w:hanging="850"/>
        </w:pPr>
        <w:rPr>
          <w:rFonts w:ascii="Arial" w:hAnsi="Arial" w:cs="Arial" w:hint="default"/>
          <w:b/>
          <w:i w:val="0"/>
          <w:sz w:val="20"/>
          <w:szCs w:val="20"/>
        </w:rPr>
      </w:lvl>
    </w:lvlOverride>
    <w:lvlOverride w:ilvl="2">
      <w:lvl w:ilvl="2">
        <w:start w:val="1"/>
        <w:numFmt w:val="lowerLetter"/>
        <w:pStyle w:val="Comm3"/>
        <w:lvlText w:val="(%3)"/>
        <w:lvlJc w:val="left"/>
        <w:pPr>
          <w:tabs>
            <w:tab w:val="num" w:pos="1417"/>
          </w:tabs>
          <w:ind w:left="1417" w:hanging="567"/>
        </w:pPr>
        <w:rPr>
          <w:rFonts w:ascii="Arial" w:hAnsi="Arial" w:cs="Arial" w:hint="default"/>
          <w:b w:val="0"/>
          <w:i w:val="0"/>
          <w:sz w:val="20"/>
          <w:szCs w:val="20"/>
        </w:rPr>
      </w:lvl>
    </w:lvlOverride>
    <w:lvlOverride w:ilvl="3">
      <w:lvl w:ilvl="3">
        <w:start w:val="1"/>
        <w:numFmt w:val="lowerRoman"/>
        <w:pStyle w:val="Comm4"/>
        <w:lvlText w:val="(%4)"/>
        <w:lvlJc w:val="left"/>
        <w:pPr>
          <w:tabs>
            <w:tab w:val="num" w:pos="2137"/>
          </w:tabs>
          <w:ind w:left="1984" w:hanging="567"/>
        </w:pPr>
        <w:rPr>
          <w:rFonts w:ascii="Arial" w:hAnsi="Arial" w:cs="Arial" w:hint="default"/>
          <w:b w:val="0"/>
          <w:i w:val="0"/>
          <w:sz w:val="20"/>
          <w:szCs w:val="20"/>
        </w:rPr>
      </w:lvl>
    </w:lvlOverride>
    <w:lvlOverride w:ilvl="4">
      <w:lvl w:ilvl="4">
        <w:start w:val="1"/>
        <w:numFmt w:val="upperLetter"/>
        <w:pStyle w:val="Comm5"/>
        <w:lvlText w:val="(%5)"/>
        <w:lvlJc w:val="left"/>
        <w:pPr>
          <w:tabs>
            <w:tab w:val="num" w:pos="2552"/>
          </w:tabs>
          <w:ind w:left="2552" w:hanging="567"/>
        </w:pPr>
        <w:rPr>
          <w:rFonts w:ascii="Arial" w:hAnsi="Arial" w:cs="Arial" w:hint="default"/>
          <w:b w:val="0"/>
          <w:i w:val="0"/>
          <w:sz w:val="20"/>
          <w:szCs w:val="20"/>
        </w:rPr>
      </w:lvl>
    </w:lvlOverride>
    <w:lvlOverride w:ilvl="5">
      <w:lvl w:ilvl="5">
        <w:start w:val="1"/>
        <w:numFmt w:val="decimal"/>
        <w:pStyle w:val="Comm6"/>
        <w:lvlText w:val="(%6)"/>
        <w:lvlJc w:val="left"/>
        <w:pPr>
          <w:tabs>
            <w:tab w:val="num" w:pos="3119"/>
          </w:tabs>
          <w:ind w:left="3119" w:hanging="567"/>
        </w:pPr>
        <w:rPr>
          <w:rFonts w:ascii="Arial" w:hAnsi="Arial" w:cs="Arial" w:hint="default"/>
          <w:b w:val="0"/>
          <w:i w:val="0"/>
          <w:sz w:val="20"/>
          <w:szCs w:val="20"/>
        </w:rPr>
      </w:lvl>
    </w:lvlOverride>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AF9"/>
    <w:rsid w:val="00071489"/>
    <w:rsid w:val="0008112A"/>
    <w:rsid w:val="000A3320"/>
    <w:rsid w:val="0011492B"/>
    <w:rsid w:val="00176F1E"/>
    <w:rsid w:val="001B31BD"/>
    <w:rsid w:val="001C5AA6"/>
    <w:rsid w:val="002177DF"/>
    <w:rsid w:val="00286DF9"/>
    <w:rsid w:val="00340AD1"/>
    <w:rsid w:val="003738CE"/>
    <w:rsid w:val="00375E4C"/>
    <w:rsid w:val="00395397"/>
    <w:rsid w:val="003A0227"/>
    <w:rsid w:val="003B4057"/>
    <w:rsid w:val="003C10E2"/>
    <w:rsid w:val="003D05A3"/>
    <w:rsid w:val="0041569E"/>
    <w:rsid w:val="00451BAF"/>
    <w:rsid w:val="00464C20"/>
    <w:rsid w:val="00474A1B"/>
    <w:rsid w:val="004B34FD"/>
    <w:rsid w:val="004D25FF"/>
    <w:rsid w:val="004D3992"/>
    <w:rsid w:val="004F6964"/>
    <w:rsid w:val="004F7187"/>
    <w:rsid w:val="00505797"/>
    <w:rsid w:val="00532251"/>
    <w:rsid w:val="00533834"/>
    <w:rsid w:val="005409C5"/>
    <w:rsid w:val="005A3E43"/>
    <w:rsid w:val="005D2508"/>
    <w:rsid w:val="005E79F6"/>
    <w:rsid w:val="005F4181"/>
    <w:rsid w:val="0063087A"/>
    <w:rsid w:val="00685FDE"/>
    <w:rsid w:val="00686613"/>
    <w:rsid w:val="006A262E"/>
    <w:rsid w:val="006E133B"/>
    <w:rsid w:val="00722547"/>
    <w:rsid w:val="00797ED0"/>
    <w:rsid w:val="007A3061"/>
    <w:rsid w:val="007F05BA"/>
    <w:rsid w:val="008034AC"/>
    <w:rsid w:val="00826623"/>
    <w:rsid w:val="00827236"/>
    <w:rsid w:val="00842EE3"/>
    <w:rsid w:val="00895DCF"/>
    <w:rsid w:val="008B0FFA"/>
    <w:rsid w:val="008C684C"/>
    <w:rsid w:val="008D4E10"/>
    <w:rsid w:val="008E3A38"/>
    <w:rsid w:val="00920ADA"/>
    <w:rsid w:val="00930826"/>
    <w:rsid w:val="00955EF7"/>
    <w:rsid w:val="00981741"/>
    <w:rsid w:val="009A08C5"/>
    <w:rsid w:val="009B1D56"/>
    <w:rsid w:val="009B1DE5"/>
    <w:rsid w:val="009D3CC1"/>
    <w:rsid w:val="00A4458F"/>
    <w:rsid w:val="00A522DF"/>
    <w:rsid w:val="00A54CEA"/>
    <w:rsid w:val="00A61803"/>
    <w:rsid w:val="00BB2781"/>
    <w:rsid w:val="00BD06AA"/>
    <w:rsid w:val="00C43077"/>
    <w:rsid w:val="00C55164"/>
    <w:rsid w:val="00C711E7"/>
    <w:rsid w:val="00C77AF9"/>
    <w:rsid w:val="00CA1605"/>
    <w:rsid w:val="00CB1BBC"/>
    <w:rsid w:val="00CB3AE1"/>
    <w:rsid w:val="00CC3715"/>
    <w:rsid w:val="00DD4832"/>
    <w:rsid w:val="00DE1992"/>
    <w:rsid w:val="00DF381F"/>
    <w:rsid w:val="00DF4281"/>
    <w:rsid w:val="00E05E7F"/>
    <w:rsid w:val="00E20E2F"/>
    <w:rsid w:val="00E45B95"/>
    <w:rsid w:val="00E62E4B"/>
    <w:rsid w:val="00EA6202"/>
    <w:rsid w:val="00EF0D2C"/>
    <w:rsid w:val="00F0437C"/>
    <w:rsid w:val="00F33BBB"/>
    <w:rsid w:val="00F61D14"/>
    <w:rsid w:val="00F72AEB"/>
    <w:rsid w:val="00FA53EB"/>
    <w:rsid w:val="00FA6986"/>
    <w:rsid w:val="00FC32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35BD0"/>
  <w15:chartTrackingRefBased/>
  <w15:docId w15:val="{1C0BA556-73A1-44A6-B0FF-7F9B847D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62E"/>
    <w:pPr>
      <w:spacing w:after="60" w:line="240" w:lineRule="exact"/>
      <w:jc w:val="both"/>
    </w:pPr>
    <w:rPr>
      <w:rFonts w:ascii="Gill Sans Nova Light" w:hAnsi="Gill Sans Nova Light" w:cs="Gill Sans Light"/>
      <w:sz w:val="20"/>
    </w:rPr>
  </w:style>
  <w:style w:type="paragraph" w:styleId="Heading1">
    <w:name w:val="heading 1"/>
    <w:basedOn w:val="Normal"/>
    <w:next w:val="Normal"/>
    <w:link w:val="Heading1Char"/>
    <w:uiPriority w:val="9"/>
    <w:qFormat/>
    <w:rsid w:val="00C711E7"/>
    <w:pPr>
      <w:keepNext/>
      <w:keepLines/>
      <w:spacing w:before="120" w:after="240" w:line="320" w:lineRule="exact"/>
      <w:outlineLvl w:val="0"/>
    </w:pPr>
    <w:rPr>
      <w:rFonts w:ascii="Gill Sans Nova" w:eastAsiaTheme="majorEastAsia" w:hAnsi="Gill Sans Nova" w:cs="Times New Roman (Headings CS)"/>
      <w:caps/>
      <w:color w:val="000000" w:themeColor="text1"/>
      <w:spacing w:val="10"/>
      <w:sz w:val="30"/>
      <w:szCs w:val="32"/>
    </w:rPr>
  </w:style>
  <w:style w:type="paragraph" w:styleId="Heading2">
    <w:name w:val="heading 2"/>
    <w:basedOn w:val="Normal"/>
    <w:next w:val="Normal"/>
    <w:link w:val="Heading2Char"/>
    <w:uiPriority w:val="9"/>
    <w:unhideWhenUsed/>
    <w:qFormat/>
    <w:rsid w:val="00C711E7"/>
    <w:pPr>
      <w:keepNext/>
      <w:keepLines/>
      <w:spacing w:before="40" w:after="120"/>
      <w:outlineLvl w:val="1"/>
    </w:pPr>
    <w:rPr>
      <w:rFonts w:ascii="Gill Sans Nova" w:eastAsiaTheme="majorEastAsia" w:hAnsi="Gill Sans Nova" w:cs="Times New Roman (Headings CS)"/>
      <w:caps/>
      <w:color w:val="000000" w:themeColor="text1"/>
      <w:sz w:val="22"/>
      <w:szCs w:val="26"/>
    </w:rPr>
  </w:style>
  <w:style w:type="paragraph" w:styleId="Heading3">
    <w:name w:val="heading 3"/>
    <w:basedOn w:val="Normal"/>
    <w:next w:val="Normal"/>
    <w:link w:val="Heading3Char"/>
    <w:uiPriority w:val="9"/>
    <w:unhideWhenUsed/>
    <w:qFormat/>
    <w:rsid w:val="006A262E"/>
    <w:pPr>
      <w:keepNext/>
      <w:keepLines/>
      <w:spacing w:before="40"/>
      <w:outlineLvl w:val="2"/>
    </w:pPr>
    <w:rPr>
      <w:rFonts w:ascii="Gill Sans Nova" w:eastAsiaTheme="majorEastAsia" w:hAnsi="Gill Sans Nova" w:cstheme="majorBidi"/>
      <w:color w:val="000000" w:themeColor="text1"/>
    </w:rPr>
  </w:style>
  <w:style w:type="paragraph" w:styleId="Heading4">
    <w:name w:val="heading 4"/>
    <w:basedOn w:val="Normal"/>
    <w:next w:val="Normal"/>
    <w:link w:val="Heading4Char"/>
    <w:uiPriority w:val="9"/>
    <w:unhideWhenUsed/>
    <w:qFormat/>
    <w:rsid w:val="006A262E"/>
    <w:pPr>
      <w:keepNext/>
      <w:keepLines/>
      <w:spacing w:before="40" w:after="0"/>
      <w:outlineLvl w:val="3"/>
    </w:pPr>
    <w:rPr>
      <w:rFonts w:ascii="Gill Sans Nova" w:eastAsiaTheme="majorEastAsia" w:hAnsi="Gill Sans Nova" w:cs="Times New Roman (Headings CS)"/>
      <w:iCs/>
      <w:color w:val="000000" w:themeColor="text1"/>
    </w:rPr>
  </w:style>
  <w:style w:type="paragraph" w:styleId="Heading5">
    <w:name w:val="heading 5"/>
    <w:basedOn w:val="Normal"/>
    <w:next w:val="Normal"/>
    <w:link w:val="Heading5Char"/>
    <w:uiPriority w:val="9"/>
    <w:semiHidden/>
    <w:unhideWhenUsed/>
    <w:rsid w:val="00C711E7"/>
    <w:pPr>
      <w:keepNext/>
      <w:keepLines/>
      <w:spacing w:before="40" w:after="0"/>
      <w:outlineLvl w:val="4"/>
    </w:pPr>
    <w:rPr>
      <w:rFonts w:eastAsiaTheme="majorEastAsia" w:cs="Times New Roman (Headings CS)"/>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PointLevel2">
    <w:name w:val="Bullet Point Level 2"/>
    <w:basedOn w:val="ListParagraph"/>
    <w:qFormat/>
    <w:rsid w:val="00375E4C"/>
    <w:pPr>
      <w:numPr>
        <w:numId w:val="3"/>
      </w:numPr>
    </w:pPr>
  </w:style>
  <w:style w:type="table" w:styleId="TableGrid">
    <w:name w:val="Table Grid"/>
    <w:basedOn w:val="TableNormal"/>
    <w:uiPriority w:val="39"/>
    <w:rsid w:val="00CC3715"/>
    <w:rPr>
      <w:rFonts w:ascii="Gill Sans Light" w:hAnsi="Gill Sans Light" w:cs="Times New Roman (Body CS)"/>
      <w:sz w:val="18"/>
    </w:rPr>
    <w:tblPr>
      <w:tblBorders>
        <w:top w:val="single" w:sz="4" w:space="0" w:color="auto"/>
        <w:bottom w:val="single" w:sz="4" w:space="0" w:color="auto"/>
        <w:insideH w:val="single" w:sz="4" w:space="0" w:color="auto"/>
      </w:tblBorders>
      <w:tblCellMar>
        <w:top w:w="57" w:type="dxa"/>
        <w:left w:w="57" w:type="dxa"/>
        <w:bottom w:w="85" w:type="dxa"/>
        <w:right w:w="57" w:type="dxa"/>
      </w:tblCellMar>
    </w:tblPr>
  </w:style>
  <w:style w:type="paragraph" w:styleId="NoSpacing">
    <w:name w:val="No Spacing"/>
    <w:link w:val="NoSpacingChar"/>
    <w:uiPriority w:val="1"/>
    <w:qFormat/>
    <w:rsid w:val="00C711E7"/>
    <w:pPr>
      <w:jc w:val="both"/>
    </w:pPr>
    <w:rPr>
      <w:rFonts w:ascii="Gill Sans Light" w:hAnsi="Gill Sans Light"/>
      <w:sz w:val="20"/>
    </w:rPr>
  </w:style>
  <w:style w:type="character" w:customStyle="1" w:styleId="Heading5Char">
    <w:name w:val="Heading 5 Char"/>
    <w:basedOn w:val="DefaultParagraphFont"/>
    <w:link w:val="Heading5"/>
    <w:uiPriority w:val="9"/>
    <w:semiHidden/>
    <w:rsid w:val="00C711E7"/>
    <w:rPr>
      <w:rFonts w:ascii="Gill Sans Nova Light" w:eastAsiaTheme="majorEastAsia" w:hAnsi="Gill Sans Nova Light" w:cs="Times New Roman (Headings CS)"/>
      <w:caps/>
      <w:color w:val="000000" w:themeColor="text1"/>
      <w:sz w:val="20"/>
    </w:rPr>
  </w:style>
  <w:style w:type="character" w:styleId="PageNumber">
    <w:name w:val="page number"/>
    <w:basedOn w:val="DefaultParagraphFont"/>
    <w:uiPriority w:val="99"/>
    <w:semiHidden/>
    <w:unhideWhenUsed/>
    <w:rsid w:val="002177DF"/>
  </w:style>
  <w:style w:type="character" w:customStyle="1" w:styleId="Heading1Char">
    <w:name w:val="Heading 1 Char"/>
    <w:basedOn w:val="DefaultParagraphFont"/>
    <w:link w:val="Heading1"/>
    <w:uiPriority w:val="9"/>
    <w:rsid w:val="00C711E7"/>
    <w:rPr>
      <w:rFonts w:ascii="Gill Sans Nova" w:eastAsiaTheme="majorEastAsia" w:hAnsi="Gill Sans Nova" w:cs="Times New Roman (Headings CS)"/>
      <w:caps/>
      <w:color w:val="000000" w:themeColor="text1"/>
      <w:spacing w:val="10"/>
      <w:sz w:val="30"/>
      <w:szCs w:val="32"/>
    </w:rPr>
  </w:style>
  <w:style w:type="character" w:customStyle="1" w:styleId="Heading2Char">
    <w:name w:val="Heading 2 Char"/>
    <w:basedOn w:val="DefaultParagraphFont"/>
    <w:link w:val="Heading2"/>
    <w:uiPriority w:val="9"/>
    <w:rsid w:val="00C711E7"/>
    <w:rPr>
      <w:rFonts w:ascii="Gill Sans Nova" w:eastAsiaTheme="majorEastAsia" w:hAnsi="Gill Sans Nova" w:cs="Times New Roman (Headings CS)"/>
      <w:caps/>
      <w:color w:val="000000" w:themeColor="text1"/>
      <w:sz w:val="22"/>
      <w:szCs w:val="26"/>
    </w:rPr>
  </w:style>
  <w:style w:type="character" w:customStyle="1" w:styleId="Heading3Char">
    <w:name w:val="Heading 3 Char"/>
    <w:basedOn w:val="DefaultParagraphFont"/>
    <w:link w:val="Heading3"/>
    <w:uiPriority w:val="9"/>
    <w:rsid w:val="006A262E"/>
    <w:rPr>
      <w:rFonts w:ascii="Gill Sans Nova" w:eastAsiaTheme="majorEastAsia" w:hAnsi="Gill Sans Nova" w:cstheme="majorBidi"/>
      <w:color w:val="000000" w:themeColor="text1"/>
      <w:sz w:val="20"/>
    </w:rPr>
  </w:style>
  <w:style w:type="character" w:customStyle="1" w:styleId="Heading4Char">
    <w:name w:val="Heading 4 Char"/>
    <w:basedOn w:val="DefaultParagraphFont"/>
    <w:link w:val="Heading4"/>
    <w:uiPriority w:val="9"/>
    <w:rsid w:val="006A262E"/>
    <w:rPr>
      <w:rFonts w:ascii="Gill Sans Nova" w:eastAsiaTheme="majorEastAsia" w:hAnsi="Gill Sans Nova" w:cs="Times New Roman (Headings CS)"/>
      <w:iCs/>
      <w:color w:val="000000" w:themeColor="text1"/>
      <w:sz w:val="20"/>
    </w:rPr>
  </w:style>
  <w:style w:type="paragraph" w:styleId="Title">
    <w:name w:val="Title"/>
    <w:basedOn w:val="Normal"/>
    <w:next w:val="Normal"/>
    <w:link w:val="TitleChar"/>
    <w:uiPriority w:val="10"/>
    <w:qFormat/>
    <w:rsid w:val="002177DF"/>
    <w:pPr>
      <w:spacing w:line="480" w:lineRule="exact"/>
    </w:pPr>
    <w:rPr>
      <w:caps/>
      <w:color w:val="FFFFFF" w:themeColor="background1"/>
      <w:sz w:val="54"/>
      <w:szCs w:val="54"/>
    </w:rPr>
  </w:style>
  <w:style w:type="character" w:customStyle="1" w:styleId="TitleChar">
    <w:name w:val="Title Char"/>
    <w:basedOn w:val="DefaultParagraphFont"/>
    <w:link w:val="Title"/>
    <w:uiPriority w:val="10"/>
    <w:rsid w:val="002177DF"/>
    <w:rPr>
      <w:rFonts w:ascii="Gill Sans Light" w:hAnsi="Gill Sans Light" w:cs="Gill Sans Light"/>
      <w:caps/>
      <w:color w:val="FFFFFF" w:themeColor="background1"/>
      <w:sz w:val="54"/>
      <w:szCs w:val="54"/>
    </w:rPr>
  </w:style>
  <w:style w:type="character" w:styleId="Emphasis">
    <w:name w:val="Emphasis"/>
    <w:aliases w:val="Regular"/>
    <w:basedOn w:val="DefaultParagraphFont"/>
    <w:uiPriority w:val="20"/>
    <w:qFormat/>
    <w:rsid w:val="002177DF"/>
    <w:rPr>
      <w:rFonts w:ascii="Gill Sans" w:hAnsi="Gill Sans"/>
      <w:b w:val="0"/>
      <w:i w:val="0"/>
      <w:iCs/>
    </w:rPr>
  </w:style>
  <w:style w:type="character" w:styleId="SubtleEmphasis">
    <w:name w:val="Subtle Emphasis"/>
    <w:aliases w:val="Light Italics"/>
    <w:basedOn w:val="DefaultParagraphFont"/>
    <w:uiPriority w:val="19"/>
    <w:qFormat/>
    <w:rsid w:val="00C711E7"/>
    <w:rPr>
      <w:rFonts w:ascii="Gill Sans Nova Light" w:hAnsi="Gill Sans Nova Light"/>
      <w:b w:val="0"/>
      <w:i/>
      <w:iCs/>
      <w:color w:val="000000" w:themeColor="text1"/>
    </w:rPr>
  </w:style>
  <w:style w:type="character" w:styleId="IntenseEmphasis">
    <w:name w:val="Intense Emphasis"/>
    <w:aliases w:val="Regular Italics"/>
    <w:basedOn w:val="DefaultParagraphFont"/>
    <w:uiPriority w:val="21"/>
    <w:qFormat/>
    <w:rsid w:val="00375E4C"/>
    <w:rPr>
      <w:rFonts w:ascii="Gill Sans" w:hAnsi="Gill Sans"/>
      <w:b w:val="0"/>
      <w:i/>
      <w:iCs/>
      <w:color w:val="000000" w:themeColor="text1"/>
    </w:rPr>
  </w:style>
  <w:style w:type="paragraph" w:styleId="ListParagraph">
    <w:name w:val="List Paragraph"/>
    <w:aliases w:val="Bullet Point Level 1"/>
    <w:basedOn w:val="Normal"/>
    <w:uiPriority w:val="34"/>
    <w:qFormat/>
    <w:rsid w:val="00375E4C"/>
    <w:pPr>
      <w:numPr>
        <w:numId w:val="1"/>
      </w:numPr>
      <w:contextualSpacing/>
    </w:pPr>
    <w:rPr>
      <w:rFonts w:cs="Times New Roman (Body CS)"/>
    </w:rPr>
  </w:style>
  <w:style w:type="paragraph" w:styleId="Header">
    <w:name w:val="header"/>
    <w:basedOn w:val="Normal"/>
    <w:link w:val="HeaderChar"/>
    <w:uiPriority w:val="99"/>
    <w:unhideWhenUsed/>
    <w:rsid w:val="00CB3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AE1"/>
    <w:rPr>
      <w:rFonts w:ascii="Gill Sans Nova Light" w:hAnsi="Gill Sans Nova Light" w:cs="Gill Sans Light"/>
      <w:sz w:val="20"/>
    </w:rPr>
  </w:style>
  <w:style w:type="paragraph" w:styleId="Footer">
    <w:name w:val="footer"/>
    <w:basedOn w:val="Normal"/>
    <w:link w:val="FooterChar"/>
    <w:uiPriority w:val="99"/>
    <w:unhideWhenUsed/>
    <w:rsid w:val="008C684C"/>
    <w:pPr>
      <w:tabs>
        <w:tab w:val="right" w:pos="10348"/>
      </w:tabs>
      <w:spacing w:after="0" w:line="240" w:lineRule="auto"/>
    </w:pPr>
  </w:style>
  <w:style w:type="character" w:customStyle="1" w:styleId="FooterChar">
    <w:name w:val="Footer Char"/>
    <w:basedOn w:val="DefaultParagraphFont"/>
    <w:link w:val="Footer"/>
    <w:uiPriority w:val="99"/>
    <w:rsid w:val="008C684C"/>
    <w:rPr>
      <w:rFonts w:ascii="Gill Sans Nova Light" w:hAnsi="Gill Sans Nova Light"/>
      <w:sz w:val="20"/>
    </w:rPr>
  </w:style>
  <w:style w:type="character" w:customStyle="1" w:styleId="NoSpacingChar">
    <w:name w:val="No Spacing Char"/>
    <w:basedOn w:val="DefaultParagraphFont"/>
    <w:link w:val="NoSpacing"/>
    <w:uiPriority w:val="1"/>
    <w:rsid w:val="00C711E7"/>
    <w:rPr>
      <w:rFonts w:ascii="Gill Sans Light" w:hAnsi="Gill Sans Light"/>
      <w:sz w:val="20"/>
    </w:rPr>
  </w:style>
  <w:style w:type="character" w:styleId="Hyperlink">
    <w:name w:val="Hyperlink"/>
    <w:basedOn w:val="DefaultParagraphFont"/>
    <w:rsid w:val="00C77AF9"/>
    <w:rPr>
      <w:rFonts w:ascii="Arial" w:hAnsi="Arial"/>
      <w:color w:val="0000FF"/>
      <w:u w:val="single"/>
    </w:rPr>
  </w:style>
  <w:style w:type="character" w:styleId="UnresolvedMention">
    <w:name w:val="Unresolved Mention"/>
    <w:basedOn w:val="DefaultParagraphFont"/>
    <w:uiPriority w:val="99"/>
    <w:semiHidden/>
    <w:unhideWhenUsed/>
    <w:rsid w:val="004D3992"/>
    <w:rPr>
      <w:color w:val="605E5C"/>
      <w:shd w:val="clear" w:color="auto" w:fill="E1DFDD"/>
    </w:rPr>
  </w:style>
  <w:style w:type="character" w:styleId="FollowedHyperlink">
    <w:name w:val="FollowedHyperlink"/>
    <w:basedOn w:val="DefaultParagraphFont"/>
    <w:uiPriority w:val="99"/>
    <w:semiHidden/>
    <w:unhideWhenUsed/>
    <w:rsid w:val="009D3CC1"/>
    <w:rPr>
      <w:color w:val="954F72" w:themeColor="followedHyperlink"/>
      <w:u w:val="single"/>
    </w:rPr>
  </w:style>
  <w:style w:type="paragraph" w:customStyle="1" w:styleId="Legal1">
    <w:name w:val="Legal1"/>
    <w:qFormat/>
    <w:rsid w:val="004B34FD"/>
    <w:pPr>
      <w:numPr>
        <w:numId w:val="12"/>
      </w:numPr>
    </w:pPr>
    <w:rPr>
      <w:rFonts w:ascii="Arial" w:eastAsia="Times New Roman" w:hAnsi="Arial" w:cs="Arial"/>
      <w:sz w:val="20"/>
      <w:szCs w:val="20"/>
    </w:rPr>
  </w:style>
  <w:style w:type="paragraph" w:customStyle="1" w:styleId="Legal2">
    <w:name w:val="Legal2"/>
    <w:basedOn w:val="Legal1"/>
    <w:qFormat/>
    <w:rsid w:val="004B34FD"/>
    <w:pPr>
      <w:numPr>
        <w:ilvl w:val="1"/>
      </w:numPr>
      <w:tabs>
        <w:tab w:val="clear" w:pos="1417"/>
        <w:tab w:val="num" w:pos="1134"/>
      </w:tabs>
    </w:pPr>
  </w:style>
  <w:style w:type="paragraph" w:customStyle="1" w:styleId="Legal3">
    <w:name w:val="Legal3"/>
    <w:qFormat/>
    <w:rsid w:val="004B34FD"/>
    <w:pPr>
      <w:numPr>
        <w:ilvl w:val="2"/>
        <w:numId w:val="12"/>
      </w:numPr>
    </w:pPr>
    <w:rPr>
      <w:rFonts w:ascii="Arial" w:eastAsia="Times New Roman" w:hAnsi="Arial" w:cs="Arial"/>
      <w:sz w:val="20"/>
      <w:szCs w:val="20"/>
    </w:rPr>
  </w:style>
  <w:style w:type="paragraph" w:customStyle="1" w:styleId="Legal4">
    <w:name w:val="Legal4"/>
    <w:qFormat/>
    <w:rsid w:val="004B34FD"/>
    <w:pPr>
      <w:numPr>
        <w:ilvl w:val="3"/>
        <w:numId w:val="12"/>
      </w:numPr>
    </w:pPr>
    <w:rPr>
      <w:rFonts w:ascii="Arial" w:eastAsia="Times New Roman" w:hAnsi="Arial" w:cs="Arial"/>
      <w:sz w:val="20"/>
      <w:szCs w:val="20"/>
    </w:rPr>
  </w:style>
  <w:style w:type="paragraph" w:customStyle="1" w:styleId="Legal5">
    <w:name w:val="Legal5"/>
    <w:qFormat/>
    <w:rsid w:val="004B34FD"/>
    <w:pPr>
      <w:numPr>
        <w:ilvl w:val="4"/>
        <w:numId w:val="12"/>
      </w:numPr>
    </w:pPr>
    <w:rPr>
      <w:rFonts w:ascii="Arial" w:eastAsia="Times New Roman" w:hAnsi="Arial" w:cs="Arial"/>
      <w:sz w:val="20"/>
      <w:szCs w:val="20"/>
    </w:rPr>
  </w:style>
  <w:style w:type="paragraph" w:customStyle="1" w:styleId="Legal6">
    <w:name w:val="Legal6"/>
    <w:qFormat/>
    <w:rsid w:val="004B34FD"/>
    <w:pPr>
      <w:numPr>
        <w:ilvl w:val="5"/>
        <w:numId w:val="12"/>
      </w:numPr>
    </w:pPr>
    <w:rPr>
      <w:rFonts w:ascii="Arial" w:eastAsia="Times New Roman" w:hAnsi="Arial" w:cs="Arial"/>
      <w:sz w:val="20"/>
      <w:szCs w:val="20"/>
    </w:rPr>
  </w:style>
  <w:style w:type="numbering" w:customStyle="1" w:styleId="LegalList">
    <w:name w:val="LegalList"/>
    <w:uiPriority w:val="99"/>
    <w:rsid w:val="004B34FD"/>
    <w:pPr>
      <w:numPr>
        <w:numId w:val="12"/>
      </w:numPr>
    </w:pPr>
  </w:style>
  <w:style w:type="paragraph" w:customStyle="1" w:styleId="DocID">
    <w:name w:val="DocID"/>
    <w:basedOn w:val="Footer"/>
    <w:next w:val="Footer"/>
    <w:link w:val="DocIDChar"/>
    <w:rsid w:val="00A522DF"/>
    <w:pPr>
      <w:jc w:val="left"/>
    </w:pPr>
    <w:rPr>
      <w:rFonts w:ascii="Arial" w:hAnsi="Arial" w:cs="Arial"/>
      <w:sz w:val="16"/>
    </w:rPr>
  </w:style>
  <w:style w:type="character" w:customStyle="1" w:styleId="DocIDChar">
    <w:name w:val="DocID Char"/>
    <w:basedOn w:val="DefaultParagraphFont"/>
    <w:link w:val="DocID"/>
    <w:rsid w:val="00A522DF"/>
    <w:rPr>
      <w:rFonts w:ascii="Arial" w:hAnsi="Arial" w:cs="Arial"/>
      <w:sz w:val="16"/>
    </w:rPr>
  </w:style>
  <w:style w:type="paragraph" w:styleId="FootnoteText">
    <w:name w:val="footnote text"/>
    <w:basedOn w:val="Normal"/>
    <w:link w:val="FootnoteTextChar"/>
    <w:semiHidden/>
    <w:unhideWhenUsed/>
    <w:rsid w:val="00FA6986"/>
    <w:pPr>
      <w:spacing w:after="0" w:line="240" w:lineRule="auto"/>
      <w:jc w:val="left"/>
    </w:pPr>
    <w:rPr>
      <w:rFonts w:asciiTheme="minorHAnsi" w:hAnsiTheme="minorHAnsi" w:cstheme="minorBidi"/>
      <w:sz w:val="22"/>
      <w:szCs w:val="22"/>
    </w:rPr>
  </w:style>
  <w:style w:type="character" w:customStyle="1" w:styleId="FootnoteTextChar">
    <w:name w:val="Footnote Text Char"/>
    <w:basedOn w:val="DefaultParagraphFont"/>
    <w:link w:val="FootnoteText"/>
    <w:semiHidden/>
    <w:rsid w:val="00FA6986"/>
    <w:rPr>
      <w:sz w:val="22"/>
      <w:szCs w:val="22"/>
    </w:rPr>
  </w:style>
  <w:style w:type="character" w:styleId="FootnoteReference">
    <w:name w:val="footnote reference"/>
    <w:basedOn w:val="DefaultParagraphFont"/>
    <w:semiHidden/>
    <w:unhideWhenUsed/>
    <w:rsid w:val="00FA6986"/>
    <w:rPr>
      <w:rFonts w:ascii="Arial" w:hAnsi="Arial" w:cs="Arial" w:hint="default"/>
      <w:vertAlign w:val="superscript"/>
    </w:rPr>
  </w:style>
  <w:style w:type="paragraph" w:customStyle="1" w:styleId="Comm2">
    <w:name w:val="Comm2"/>
    <w:qFormat/>
    <w:rsid w:val="004D25FF"/>
    <w:pPr>
      <w:numPr>
        <w:ilvl w:val="1"/>
        <w:numId w:val="17"/>
      </w:numPr>
      <w:jc w:val="both"/>
    </w:pPr>
    <w:rPr>
      <w:rFonts w:ascii="Arial" w:eastAsia="Times New Roman" w:hAnsi="Arial" w:cs="Arial"/>
      <w:b/>
      <w:sz w:val="20"/>
      <w:szCs w:val="20"/>
    </w:rPr>
  </w:style>
  <w:style w:type="paragraph" w:customStyle="1" w:styleId="Comm3">
    <w:name w:val="Comm3"/>
    <w:qFormat/>
    <w:rsid w:val="004D25FF"/>
    <w:pPr>
      <w:numPr>
        <w:ilvl w:val="2"/>
        <w:numId w:val="17"/>
      </w:numPr>
      <w:jc w:val="both"/>
    </w:pPr>
    <w:rPr>
      <w:rFonts w:ascii="Arial" w:eastAsia="Times New Roman" w:hAnsi="Arial" w:cs="Arial"/>
      <w:sz w:val="20"/>
      <w:szCs w:val="20"/>
    </w:rPr>
  </w:style>
  <w:style w:type="paragraph" w:customStyle="1" w:styleId="Comm4">
    <w:name w:val="Comm4"/>
    <w:qFormat/>
    <w:rsid w:val="004D25FF"/>
    <w:pPr>
      <w:numPr>
        <w:ilvl w:val="3"/>
        <w:numId w:val="17"/>
      </w:numPr>
      <w:tabs>
        <w:tab w:val="left" w:pos="1985"/>
      </w:tabs>
      <w:jc w:val="both"/>
    </w:pPr>
    <w:rPr>
      <w:rFonts w:ascii="Arial" w:eastAsia="Times New Roman" w:hAnsi="Arial" w:cs="Arial"/>
      <w:sz w:val="20"/>
      <w:szCs w:val="20"/>
    </w:rPr>
  </w:style>
  <w:style w:type="paragraph" w:customStyle="1" w:styleId="Comm5">
    <w:name w:val="Comm5"/>
    <w:qFormat/>
    <w:rsid w:val="004D25FF"/>
    <w:pPr>
      <w:numPr>
        <w:ilvl w:val="4"/>
        <w:numId w:val="17"/>
      </w:numPr>
      <w:jc w:val="both"/>
    </w:pPr>
    <w:rPr>
      <w:rFonts w:ascii="Arial" w:eastAsia="Times New Roman" w:hAnsi="Arial" w:cs="Arial"/>
      <w:sz w:val="20"/>
      <w:szCs w:val="20"/>
    </w:rPr>
  </w:style>
  <w:style w:type="paragraph" w:customStyle="1" w:styleId="Comm6">
    <w:name w:val="Comm6"/>
    <w:qFormat/>
    <w:rsid w:val="004D25FF"/>
    <w:pPr>
      <w:numPr>
        <w:ilvl w:val="5"/>
        <w:numId w:val="17"/>
      </w:numPr>
      <w:jc w:val="both"/>
    </w:pPr>
    <w:rPr>
      <w:rFonts w:ascii="Arial" w:eastAsia="Times New Roman" w:hAnsi="Arial" w:cs="Arial"/>
      <w:sz w:val="20"/>
      <w:szCs w:val="20"/>
    </w:rPr>
  </w:style>
  <w:style w:type="paragraph" w:customStyle="1" w:styleId="Comm1">
    <w:name w:val="Comm1"/>
    <w:qFormat/>
    <w:rsid w:val="004D25FF"/>
    <w:pPr>
      <w:keepNext/>
      <w:numPr>
        <w:numId w:val="17"/>
      </w:numPr>
      <w:spacing w:before="360"/>
      <w:jc w:val="both"/>
    </w:pPr>
    <w:rPr>
      <w:rFonts w:ascii="Arial" w:eastAsia="Times New Roman" w:hAnsi="Arial" w:cs="Arial"/>
      <w:b/>
    </w:rPr>
  </w:style>
  <w:style w:type="numbering" w:customStyle="1" w:styleId="CommList">
    <w:name w:val="CommList"/>
    <w:uiPriority w:val="99"/>
    <w:rsid w:val="004D25FF"/>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966008">
      <w:bodyDiv w:val="1"/>
      <w:marLeft w:val="0"/>
      <w:marRight w:val="0"/>
      <w:marTop w:val="0"/>
      <w:marBottom w:val="0"/>
      <w:divBdr>
        <w:top w:val="none" w:sz="0" w:space="0" w:color="auto"/>
        <w:left w:val="none" w:sz="0" w:space="0" w:color="auto"/>
        <w:bottom w:val="none" w:sz="0" w:space="0" w:color="auto"/>
        <w:right w:val="none" w:sz="0" w:space="0" w:color="auto"/>
      </w:divBdr>
    </w:div>
    <w:div w:id="157682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ane.welsh@finlaysons.com.a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jane.welsh@finlaysons.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S\OneDrive%20-%20Galicia%20Pty%20Ltd%20(Finlaysons)\Downloads\81012154_Finlaysons_Legal%20Alert%20(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BDDF5-9A0E-4929-8078-548EA718D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81012154_Finlaysons_Legal Alert (9).dotx</Template>
  <TotalTime>10</TotalTime>
  <Pages>3</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streamlining the environment protection and biodiversity conservation act</vt:lpstr>
    </vt:vector>
  </TitlesOfParts>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streamlining the environment protection and biodiversity conservation act</dc:title>
  <dc:subject/>
  <dc:creator>Finlaysons</dc:creator>
  <cp:keywords/>
  <dc:description/>
  <cp:lastModifiedBy>Finlaysons</cp:lastModifiedBy>
  <cp:revision>2</cp:revision>
  <cp:lastPrinted>2022-09-19T06:49:00Z</cp:lastPrinted>
  <dcterms:created xsi:type="dcterms:W3CDTF">2022-09-20T05:11:00Z</dcterms:created>
  <dcterms:modified xsi:type="dcterms:W3CDTF">2022-09-20T05:11:00Z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7548087V1</vt:lpwstr>
  </property>
  <property fmtid="{D5CDD505-2E9C-101B-9397-08002B2CF9AE}" pid="3" name="CUS_DocIDChunk0">
    <vt:lpwstr>7548087V1</vt:lpwstr>
  </property>
  <property fmtid="{D5CDD505-2E9C-101B-9397-08002B2CF9AE}" pid="4" name="CUS_DocIDActiveBits">
    <vt:lpwstr>98304</vt:lpwstr>
  </property>
  <property fmtid="{D5CDD505-2E9C-101B-9397-08002B2CF9AE}" pid="5" name="CUS_DocIDLocation">
    <vt:lpwstr>EVERY_PAGE</vt:lpwstr>
  </property>
  <property fmtid="{D5CDD505-2E9C-101B-9397-08002B2CF9AE}" pid="6" name="CUS_DocIDReference">
    <vt:lpwstr>everyPage</vt:lpwstr>
  </property>
</Properties>
</file>